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E4B" w:rsidRDefault="00A14A51">
      <w:pPr>
        <w:rPr>
          <w:rFonts w:cs="Arial"/>
          <w:b/>
          <w:bCs/>
          <w:color w:val="263673"/>
          <w:kern w:val="32"/>
          <w:sz w:val="28"/>
          <w:szCs w:val="32"/>
        </w:rPr>
        <w:sectPr w:rsidR="00B27E4B" w:rsidSect="00406D06">
          <w:headerReference w:type="even" r:id="rId11"/>
          <w:footerReference w:type="default" r:id="rId12"/>
          <w:pgSz w:w="11907" w:h="16840"/>
          <w:pgMar w:top="1985" w:right="1418" w:bottom="1418" w:left="1701" w:header="720" w:footer="720" w:gutter="0"/>
          <w:cols w:space="720"/>
          <w:titlePg/>
          <w:docGrid w:linePitch="272"/>
        </w:sectPr>
      </w:pPr>
      <w:bookmarkStart w:id="0" w:name="_GoBack"/>
      <w:bookmarkEnd w:id="0"/>
      <w:r>
        <w:rPr>
          <w:rFonts w:cs="Arial"/>
          <w:b/>
          <w:bCs/>
          <w:noProof/>
          <w:color w:val="263673"/>
          <w:kern w:val="32"/>
          <w:sz w:val="28"/>
          <w:szCs w:val="32"/>
        </w:rPr>
        <mc:AlternateContent>
          <mc:Choice Requires="wps">
            <w:drawing>
              <wp:anchor distT="0" distB="0" distL="114300" distR="114300" simplePos="0" relativeHeight="251695104" behindDoc="0" locked="0" layoutInCell="0" allowOverlap="1" wp14:anchorId="391794F1" wp14:editId="58B9B83E">
                <wp:simplePos x="0" y="0"/>
                <wp:positionH relativeFrom="margin">
                  <wp:posOffset>2110740</wp:posOffset>
                </wp:positionH>
                <wp:positionV relativeFrom="paragraph">
                  <wp:posOffset>7635875</wp:posOffset>
                </wp:positionV>
                <wp:extent cx="4019550" cy="695325"/>
                <wp:effectExtent l="0" t="0" r="0" b="9525"/>
                <wp:wrapNone/>
                <wp:docPr id="2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977B14" w:rsidRPr="00A14A51" w:rsidRDefault="00977B14" w:rsidP="006C5DDB">
                            <w:pPr>
                              <w:jc w:val="left"/>
                              <w:rPr>
                                <w:rFonts w:cs="Arial"/>
                                <w:color w:val="FFFFFF"/>
                                <w:sz w:val="40"/>
                                <w:szCs w:val="40"/>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794F1" id="_x0000_t202" coordsize="21600,21600" o:spt="202" path="m,l,21600r21600,l21600,xe">
                <v:stroke joinstyle="miter"/>
                <v:path gradientshapeok="t" o:connecttype="rect"/>
              </v:shapetype>
              <v:shape id="Text Box 51" o:spid="_x0000_s1026" type="#_x0000_t202" style="position:absolute;left:0;text-align:left;margin-left:166.2pt;margin-top:601.25pt;width:316.5pt;height:54.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gFE8gIAACUGAAAOAAAAZHJzL2Uyb0RvYy54bWysVNtunDAQfa/Uf7D8TrjEsAsKiVgIVaX0&#13;&#10;IqX9AC+YxSrY1HbCplX+vWOz2W56kaq2PCDbY585c+ZycbUfB3TPlOZS5Dg8CzBiopEtF7scf/xQ&#13;&#10;e2uMtKGipYMULMcPTOOry5cvLuYpY5Hs5dAyhQBE6GyectwbM2W+r5uejVSfyYkJMHZSjdTAVu38&#13;&#10;VtEZ0MfBj4Ig8Wep2knJhmkNp9VixJcOv+tYY951nWYGDTkGbsb9lftv7d+/vKDZTtGp582BBv0L&#13;&#10;FiPlApweoSpqKLpT/CeokTdKatmZs0aOvuw63jAXA0QTBj9Ec9vTiblYQBw9HWXS/w+2eXv/XiHe&#13;&#10;5jhKMBJ0hBx9YHuDNnKP4tDqM086g2u3E1w0eziHPLtY9XQjm08aCVn2VOxYoZSce0Zb4Ode+idP&#13;&#10;FxxtQbbzG9mCH3pnpAPad2q04oEcCNAhTw/H3FguDRySIEzjGEwN2JI0Po9iS86n2dPrSWnziskR&#13;&#10;2UWOFeTeodP7G22Wq09XrDMhaz4MLv+DeHYAmMsJ+Ian1mZZuHR+TYP0en29Jh6JkmuPBFXlFXVJ&#13;&#10;vKQOV3F1XpVlFT5avyHJet62TFg3T6UVkj9L3aHIl6I4FpeWA28tnKWk1W5bDgrdUyjt2n0HQU6u&#13;&#10;+c9pOL0glh9CCiMSbKLUq5P1yiM1ib10Faw9UHyTJgFJSVU/D+mGC/bvIaE5x2kMeXTh/Da2wH0/&#13;&#10;x0azkRsYHgMfc7w+XqKZLcFr0brUGsqHZX0ihaX/aynqoogSyKJXrVOQYssib10HxNsUJA7L1aoO&#13;&#10;q9WjpXJaEmW8iopVnHpJEYceCUG6oggir6qLoAhIXaZk4x5BYT2VlGsN2w1LX5j9dg+otl+2sn2A&#13;&#10;JlESahjKHWYrLHqpvmA0w5zKsf58RxXDaHgtoNHSkBA72NyGABPYqFPL9tRCRQNQOTYYLcvSLMPw&#13;&#10;blJ814OnpbWFLKA5O+765jsrEM1uYBY5+Q5z0w6707279X26X34DAAD//wMAUEsDBBQABgAIAAAA&#13;&#10;IQBQ37KP4gAAABIBAAAPAAAAZHJzL2Rvd25yZXYueG1sTE9BTsMwELwj8QdrK3GjdpOmommcClFx&#13;&#10;BVFaJG5uvE0i4nUUu034PcsJLivtzOzsTLGdXCeuOITWk4bFXIFAqrxtqdZweH++fwARoiFrOk+o&#13;&#10;4RsDbMvbm8Lk1o/0htd9rAWbUMiNhibGPpcyVA06E+a+R2Lu7AdnIq9DLe1gRjZ3nUyUWklnWuIP&#13;&#10;jenxqcHqa39xGo4v58+PpXqtdy7rRz8pSW4ttb6bTbsNj8cNiIhT/LuA3w6cH0oOdvIXskF0GtI0&#13;&#10;WbKUiUQlGQiWrFcZQyeGUgZBloX8X6X8AQAA//8DAFBLAQItABQABgAIAAAAIQC2gziS/gAAAOEB&#13;&#10;AAATAAAAAAAAAAAAAAAAAAAAAABbQ29udGVudF9UeXBlc10ueG1sUEsBAi0AFAAGAAgAAAAhADj9&#13;&#10;If/WAAAAlAEAAAsAAAAAAAAAAAAAAAAALwEAAF9yZWxzLy5yZWxzUEsBAi0AFAAGAAgAAAAhAHgO&#13;&#10;AUTyAgAAJQYAAA4AAAAAAAAAAAAAAAAALgIAAGRycy9lMm9Eb2MueG1sUEsBAi0AFAAGAAgAAAAh&#13;&#10;AFDfso/iAAAAEgEAAA8AAAAAAAAAAAAAAAAATAUAAGRycy9kb3ducmV2LnhtbFBLBQYAAAAABAAE&#13;&#10;APMAAABbBgAAAAA=&#13;&#10;" o:allowincell="f" filled="f" stroked="f">
                <v:textbox>
                  <w:txbxContent>
                    <w:p w:rsidR="00977B14" w:rsidRPr="00A14A51" w:rsidRDefault="00977B14" w:rsidP="006C5DDB">
                      <w:pPr>
                        <w:jc w:val="left"/>
                        <w:rPr>
                          <w:rFonts w:cs="Arial"/>
                          <w:color w:val="FFFFFF"/>
                          <w:sz w:val="40"/>
                          <w:szCs w:val="40"/>
                          <w:lang w:val="fr-BE"/>
                        </w:rPr>
                      </w:pPr>
                    </w:p>
                  </w:txbxContent>
                </v:textbox>
                <w10:wrap anchorx="margin"/>
              </v:shape>
            </w:pict>
          </mc:Fallback>
        </mc:AlternateContent>
      </w:r>
      <w:r w:rsidR="00094063">
        <w:rPr>
          <w:rFonts w:cs="Arial"/>
          <w:b/>
          <w:bCs/>
          <w:noProof/>
          <w:color w:val="263673"/>
          <w:kern w:val="32"/>
          <w:sz w:val="28"/>
          <w:szCs w:val="32"/>
        </w:rPr>
        <w:drawing>
          <wp:anchor distT="0" distB="0" distL="114300" distR="114300" simplePos="0" relativeHeight="251697152" behindDoc="0" locked="0" layoutInCell="1" allowOverlap="1" wp14:anchorId="16AB602D" wp14:editId="479552F2">
            <wp:simplePos x="0" y="0"/>
            <wp:positionH relativeFrom="page">
              <wp:posOffset>3638233</wp:posOffset>
            </wp:positionH>
            <wp:positionV relativeFrom="page">
              <wp:posOffset>6900545</wp:posOffset>
            </wp:positionV>
            <wp:extent cx="671512" cy="671512"/>
            <wp:effectExtent l="0" t="0" r="0" b="0"/>
            <wp:wrapNone/>
            <wp:docPr id="2" name="Picture 2" descr="P:\ET 2020 Coordination\ET2020 Working Groups\Templates 2016-2018\Citizenship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 2020 Coordination\ET2020 Working Groups\Templates 2016-2018\Citizenship Ic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512" cy="671512"/>
                    </a:xfrm>
                    <a:prstGeom prst="rect">
                      <a:avLst/>
                    </a:prstGeom>
                    <a:noFill/>
                    <a:ln>
                      <a:noFill/>
                    </a:ln>
                  </pic:spPr>
                </pic:pic>
              </a:graphicData>
            </a:graphic>
            <wp14:sizeRelH relativeFrom="page">
              <wp14:pctWidth>0</wp14:pctWidth>
            </wp14:sizeRelH>
            <wp14:sizeRelV relativeFrom="page">
              <wp14:pctHeight>0</wp14:pctHeight>
            </wp14:sizeRelV>
          </wp:anchor>
        </w:drawing>
      </w:r>
      <w:r w:rsidR="008F5CA8">
        <w:rPr>
          <w:rFonts w:cs="Arial"/>
          <w:b/>
          <w:bCs/>
          <w:noProof/>
          <w:color w:val="263673"/>
          <w:kern w:val="32"/>
          <w:sz w:val="28"/>
          <w:szCs w:val="32"/>
        </w:rPr>
        <w:drawing>
          <wp:anchor distT="0" distB="0" distL="114300" distR="114300" simplePos="0" relativeHeight="251686912" behindDoc="1" locked="0" layoutInCell="1" allowOverlap="1" wp14:anchorId="469BFB62" wp14:editId="6907C6E6">
            <wp:simplePos x="0" y="0"/>
            <wp:positionH relativeFrom="page">
              <wp:posOffset>510639</wp:posOffset>
            </wp:positionH>
            <wp:positionV relativeFrom="page">
              <wp:posOffset>6899564</wp:posOffset>
            </wp:positionV>
            <wp:extent cx="4574540" cy="641332"/>
            <wp:effectExtent l="0" t="0" r="0" b="6985"/>
            <wp:wrapThrough wrapText="bothSides">
              <wp:wrapPolygon edited="0">
                <wp:start x="810" y="0"/>
                <wp:lineTo x="0" y="3853"/>
                <wp:lineTo x="0" y="16056"/>
                <wp:lineTo x="630" y="20551"/>
                <wp:lineTo x="810" y="21193"/>
                <wp:lineTo x="20689" y="21193"/>
                <wp:lineTo x="20868" y="20551"/>
                <wp:lineTo x="21498" y="16056"/>
                <wp:lineTo x="21498" y="3853"/>
                <wp:lineTo x="20689" y="0"/>
                <wp:lineTo x="81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 300dpi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4540" cy="641332"/>
                    </a:xfrm>
                    <a:prstGeom prst="rect">
                      <a:avLst/>
                    </a:prstGeom>
                  </pic:spPr>
                </pic:pic>
              </a:graphicData>
            </a:graphic>
            <wp14:sizeRelH relativeFrom="page">
              <wp14:pctWidth>0</wp14:pctWidth>
            </wp14:sizeRelH>
            <wp14:sizeRelV relativeFrom="page">
              <wp14:pctHeight>0</wp14:pctHeight>
            </wp14:sizeRelV>
          </wp:anchor>
        </w:drawing>
      </w:r>
      <w:r w:rsidR="00094063" w:rsidRPr="00094063">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E23416">
        <w:rPr>
          <w:rFonts w:cs="Arial"/>
          <w:b/>
          <w:bCs/>
          <w:noProof/>
          <w:color w:val="263673"/>
          <w:kern w:val="32"/>
          <w:sz w:val="28"/>
          <w:szCs w:val="32"/>
        </w:rPr>
        <w:drawing>
          <wp:anchor distT="0" distB="0" distL="114300" distR="114300" simplePos="0" relativeHeight="251686399" behindDoc="1" locked="1" layoutInCell="1" allowOverlap="1" wp14:anchorId="6A665FC3" wp14:editId="74749F7E">
            <wp:simplePos x="0" y="0"/>
            <wp:positionH relativeFrom="page">
              <wp:posOffset>2540</wp:posOffset>
            </wp:positionH>
            <wp:positionV relativeFrom="page">
              <wp:posOffset>-24765</wp:posOffset>
            </wp:positionV>
            <wp:extent cx="7606665" cy="1075944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education_bannerwordA4_en.w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06665" cy="10759440"/>
                    </a:xfrm>
                    <a:prstGeom prst="rect">
                      <a:avLst/>
                    </a:prstGeom>
                  </pic:spPr>
                </pic:pic>
              </a:graphicData>
            </a:graphic>
            <wp14:sizeRelH relativeFrom="margin">
              <wp14:pctWidth>0</wp14:pctWidth>
            </wp14:sizeRelH>
            <wp14:sizeRelV relativeFrom="margin">
              <wp14:pctHeight>0</wp14:pctHeight>
            </wp14:sizeRelV>
          </wp:anchor>
        </w:drawing>
      </w:r>
      <w:r w:rsidR="006C5DDB">
        <w:rPr>
          <w:rFonts w:cs="Arial"/>
          <w:b/>
          <w:bCs/>
          <w:noProof/>
          <w:color w:val="263673"/>
          <w:kern w:val="32"/>
          <w:sz w:val="28"/>
          <w:szCs w:val="32"/>
        </w:rPr>
        <mc:AlternateContent>
          <mc:Choice Requires="wps">
            <w:drawing>
              <wp:anchor distT="0" distB="0" distL="114300" distR="114300" simplePos="0" relativeHeight="251654144" behindDoc="0" locked="0" layoutInCell="0" allowOverlap="1" wp14:anchorId="0CB2B1AC" wp14:editId="7B233239">
                <wp:simplePos x="0" y="0"/>
                <wp:positionH relativeFrom="margin">
                  <wp:posOffset>-480060</wp:posOffset>
                </wp:positionH>
                <wp:positionV relativeFrom="paragraph">
                  <wp:posOffset>6492875</wp:posOffset>
                </wp:positionV>
                <wp:extent cx="3735705" cy="1162050"/>
                <wp:effectExtent l="0" t="0" r="0" b="0"/>
                <wp:wrapNone/>
                <wp:docPr id="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70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977B14" w:rsidRPr="006C5DDB" w:rsidRDefault="0077627C" w:rsidP="0077627C">
                            <w:pPr>
                              <w:jc w:val="center"/>
                              <w:rPr>
                                <w:rFonts w:cs="Arial"/>
                                <w:color w:val="FFFFFF"/>
                                <w:sz w:val="63"/>
                                <w:szCs w:val="63"/>
                              </w:rPr>
                            </w:pPr>
                            <w:r>
                              <w:rPr>
                                <w:rFonts w:cs="Arial"/>
                                <w:color w:val="FFFFFF"/>
                                <w:sz w:val="63"/>
                                <w:szCs w:val="63"/>
                              </w:rPr>
                              <w:t>Elements of a Policy Framework</w:t>
                            </w:r>
                            <w:r w:rsidR="00977B14" w:rsidRPr="006C5DDB">
                              <w:rPr>
                                <w:rFonts w:cs="Arial"/>
                                <w:color w:val="FFFFFF"/>
                                <w:sz w:val="63"/>
                                <w:szCs w:val="6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2B1AC" id="_x0000_s1027" type="#_x0000_t202" style="position:absolute;left:0;text-align:left;margin-left:-37.8pt;margin-top:511.25pt;width:294.15pt;height:9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bOj+gIAAC0GAAAOAAAAZHJzL2Uyb0RvYy54bWysVNtunDoUfa/Uf7D8TjDEDAMKqRgIVaWc&#13;&#10;i9T2AzxgBqtgU9sJkx7l38+2SaaTtkc6assD8mV77bX27erNcRrRPddGKFng6IJgxGWrOiEPBf74&#13;&#10;oQm2GBnLZMdGJXmBH7jBb65fv7pa5pzHalBjxzUCEGnyZS7wYO2ch6FpBz4xc6FmLuGyV3piFrb6&#13;&#10;EHaaLYA+jWFMyCZclO5mrVpuDJzW6yW+9vh9z1v7V98bbtFYYOBm/V/7/979w+srlh80mwfRPtFg&#13;&#10;P8FiYkKC0xNUzSxDd1p8BzWJViujenvRqilUfS9a7jWAmoh8o+b9wGbutUBwzHwKk/l9sO2f939r&#13;&#10;JLoCxwlGkk2Qow/8aNFOHVESufgss8nB7P0MhvYI55Bnr9XMt6r9ZJBU1cDkgZdaq2XgrAN+/mV4&#13;&#10;9nTFMQ5kv/yhOvDD7qzyQMdeTy54EA4E6JCnh1NuHJcWDi/TyyQlwLGFuyjaxCTx2QtZ/vx81sa+&#13;&#10;5WpCblFgDcn38Oz+1lgQAqbPJs6bVI0YR18Ao3xxAIbrCTiHp+7O0fD5/Ccj2c32ZksDGm9uAkrq&#13;&#10;OiibigabJkqT+rKuqjp6dH4jmg+i67h0bp5rK6L/L3dPVb5Wxam6jBpF5+AcJaMP+2rU6J5BbTf+&#13;&#10;c+kC8mdm4Usa/hq0fCMpiinZxVnQbLZpQBuaBFlKtgGJsl22ITSjdfNS0q2Q/NcloaXAWQKF5+X8&#13;&#10;pzbiv++1sXwSFqbHKKYCb09GLHc1eCM7n1rLxLiuz0Lh6P84FE1ZxhvIYlBvMwjFnsfBtiE02JU0&#13;&#10;iao0baI6fVynxteSqJI0LtMkCzZlEgU0gtCVJYmDuilJSWhTZXTnH0FunkvK94Zrh7Ux7HF/9G14&#13;&#10;arm96h6gWbSCUoaOgBkLi0HpLxgtMK8KbD7fMc0xGt9JaLgsotQNOL+hQAg2+vxmf37DZAtQBbYY&#13;&#10;rcvKrkPxbtbiMICntcWlKqFJe+Hbx3Xzygpi5zYwk3wUn+anG3rne2/1dcpf/wsAAP//AwBQSwME&#13;&#10;FAAGAAgAAAAhAD201sPjAAAAEgEAAA8AAABkcnMvZG93bnJldi54bWxMT01PwzAMvSPxHyIjcduS&#13;&#10;RWSDrumEmLgyMT4kblnrtRWNUzXZWv79zAkuluz3/D7yzeQ7ccYhtoEsLOYKBFIZqpZqC+9vz7N7&#13;&#10;EDE5qlwXCC38YIRNcX2Vu6wKI73ieZ9qwSIUM2ehSanPpIxlg97FeeiRGDuGwbvE61DLanAji/tO&#13;&#10;aqWW0ruW2KFxPT41WH7vT97Cx8vx6/NO7eqtN/0YJiXJP0hrb2+m7ZrH4xpEwin9fcBvB84PBQc7&#13;&#10;hBNVUXQWZiuzZCoDSmsDgilmoVcgDnzSyhiQRS7/VykuAAAA//8DAFBLAQItABQABgAIAAAAIQC2&#13;&#10;gziS/gAAAOEBAAATAAAAAAAAAAAAAAAAAAAAAABbQ29udGVudF9UeXBlc10ueG1sUEsBAi0AFAAG&#13;&#10;AAgAAAAhADj9If/WAAAAlAEAAAsAAAAAAAAAAAAAAAAALwEAAF9yZWxzLy5yZWxzUEsBAi0AFAAG&#13;&#10;AAgAAAAhADJds6P6AgAALQYAAA4AAAAAAAAAAAAAAAAALgIAAGRycy9lMm9Eb2MueG1sUEsBAi0A&#13;&#10;FAAGAAgAAAAhAD201sPjAAAAEgEAAA8AAAAAAAAAAAAAAAAAVAUAAGRycy9kb3ducmV2LnhtbFBL&#13;&#10;BQYAAAAABAAEAPMAAABkBgAAAAA=&#13;&#10;" o:allowincell="f" filled="f" stroked="f">
                <v:textbox>
                  <w:txbxContent>
                    <w:p w:rsidR="00977B14" w:rsidRPr="006C5DDB" w:rsidRDefault="0077627C" w:rsidP="0077627C">
                      <w:pPr>
                        <w:jc w:val="center"/>
                        <w:rPr>
                          <w:rFonts w:cs="Arial"/>
                          <w:color w:val="FFFFFF"/>
                          <w:sz w:val="63"/>
                          <w:szCs w:val="63"/>
                        </w:rPr>
                      </w:pPr>
                      <w:r>
                        <w:rPr>
                          <w:rFonts w:cs="Arial"/>
                          <w:color w:val="FFFFFF"/>
                          <w:sz w:val="63"/>
                          <w:szCs w:val="63"/>
                        </w:rPr>
                        <w:t>Elements of a Policy Framework</w:t>
                      </w:r>
                      <w:r w:rsidR="00977B14" w:rsidRPr="006C5DDB">
                        <w:rPr>
                          <w:rFonts w:cs="Arial"/>
                          <w:color w:val="FFFFFF"/>
                          <w:sz w:val="63"/>
                          <w:szCs w:val="63"/>
                        </w:rPr>
                        <w:t xml:space="preserve"> </w:t>
                      </w:r>
                    </w:p>
                  </w:txbxContent>
                </v:textbox>
                <w10:wrap anchorx="margin"/>
              </v:shape>
            </w:pict>
          </mc:Fallback>
        </mc:AlternateContent>
      </w:r>
      <w:r w:rsidR="006C5DDB">
        <w:rPr>
          <w:rFonts w:cs="Arial"/>
          <w:b/>
          <w:bCs/>
          <w:noProof/>
          <w:color w:val="263673"/>
          <w:kern w:val="32"/>
          <w:sz w:val="28"/>
          <w:szCs w:val="32"/>
        </w:rPr>
        <mc:AlternateContent>
          <mc:Choice Requires="wps">
            <w:drawing>
              <wp:anchor distT="0" distB="0" distL="114300" distR="114300" simplePos="0" relativeHeight="251691008" behindDoc="0" locked="0" layoutInCell="0" allowOverlap="1" wp14:anchorId="4F457E4E" wp14:editId="34229B6E">
                <wp:simplePos x="0" y="0"/>
                <wp:positionH relativeFrom="margin">
                  <wp:posOffset>-232410</wp:posOffset>
                </wp:positionH>
                <wp:positionV relativeFrom="paragraph">
                  <wp:posOffset>8550275</wp:posOffset>
                </wp:positionV>
                <wp:extent cx="6040755" cy="238125"/>
                <wp:effectExtent l="0" t="0" r="0" b="9525"/>
                <wp:wrapNone/>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977B14" w:rsidRPr="00094063" w:rsidRDefault="00977B14" w:rsidP="0072526F">
                            <w:pPr>
                              <w:jc w:val="center"/>
                              <w:rPr>
                                <w:rFonts w:ascii="Arial" w:hAnsi="Arial" w:cs="Arial"/>
                                <w:i/>
                                <w:color w:val="FFFFFF" w:themeColor="background1"/>
                                <w:sz w:val="12"/>
                                <w:szCs w:val="36"/>
                              </w:rPr>
                            </w:pPr>
                            <w:r w:rsidRPr="0072526F">
                              <w:rPr>
                                <w:rFonts w:ascii="Arial" w:hAnsi="Arial" w:cs="Arial"/>
                                <w:color w:val="FFFFFF" w:themeColor="background1"/>
                                <w:sz w:val="18"/>
                                <w:szCs w:val="22"/>
                                <w:lang w:eastAsia="en-US"/>
                              </w:rPr>
                              <w:t>Produced by the ET 2020 Working Groups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7E4E" id="_x0000_s1028" type="#_x0000_t202" style="position:absolute;left:0;text-align:left;margin-left:-18.3pt;margin-top:673.25pt;width:475.65pt;height:1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gCV9AIAACwGAAAOAAAAZHJzL2Uyb0RvYy54bWysVNlu1DAUfUfiHyy/p1nqTBY1rTJJg5DK&#13;&#10;IgEf4EmciUViB9ttpiD+nWunHaYsEgLyEHm5Pvfcc5eLq8M0ojumNJeiwOFZgBETrey42Bf4w/vG&#13;&#10;SzHShoqOjlKwAt8zja8unz+7WOacRXKQY8cUAhCh82Uu8GDMnPu+bgc2UX0mZybgspdqoga2au93&#13;&#10;ii6APo1+FAQbf5Gqm5VsmdZwWq+X+NLh9z1rzZu+18ygscDAzbi/cv+d/fuXFzTfKzoPvH2gQf+C&#13;&#10;xUS5AKdHqJoaim4V/wlq4q2SWvbmrJWTL/uet8zFANGEwQ/RvBvozFwsII6ejzLp/wfbvr57qxDv&#13;&#10;ChwRjASdIEfv2cGgrTygOLT6LLPOwezdDIbmAOeQZxernm9k+1EjIauBij0rlZLLwGgH/NxL/+Tp&#13;&#10;iqMtyG55JTvwQ2+NdECHXk1WPJADATrk6f6YG8ulhcNNQIIkjjFq4S46T8MotuR8mj++npU2L5ic&#13;&#10;kF0UWEHuHTq9u9FmNX00sc6EbPg4uvyP4skBYK4n4Bue2jvLwqXzSxZk1+l1SjwSba49EtS1VzYV&#13;&#10;8TZNmMT1eV1VdfjV+g1JPvCuY8K6eSytkPxZ6h6KfC2KY3FpOfLOwllKWu131ajQHYXSbtz3IMiJ&#13;&#10;mf+UhtMLYvkhpDAiwTbKvGaTJh5pSOxlSZB6QZhtM9A9I3XzNKQbLti/h4SWAmcx5NGF89vYAvf9&#13;&#10;HBvNJ25geIx8KnB6NKK5LcFr0bnUGsrHdX0ihaX/aymasow2kEWvTjOQYsciL20C4m1LEodVkjRh&#13;&#10;nXy1VE5LooqTqEzizNuUceiREKQryyDy6qYMyoA0VUa27hEU1mNJudaw3bD2hTnsDmsXWnDbNjvZ&#13;&#10;3UOvKAmlDA0BIxYWg1SfMVpgXBVYf7qlimE0vhTQb1lIiJ1vbkOAEGzU6c3u9IaKFqAKbDBal5VZ&#13;&#10;Z+LtrPh+AE9rhwtZQo/23LXPd1agnd3ASHIqPoxPO/NO987q+5C//AYAAP//AwBQSwMEFAAGAAgA&#13;&#10;AAAhAB3vltHjAAAAEgEAAA8AAABkcnMvZG93bnJldi54bWxMT01PwzAMvSPxHyIjcduSsa7buqYT&#13;&#10;YuIKYjAkblnjtRWNUzXZWv493gkuluz3/D7y7ehaccE+NJ40zKYKBFLpbUOVho/358kKRIiGrGk9&#13;&#10;oYYfDLAtbm9yk1k/0Bte9rESLEIhMxrqGLtMylDW6EyY+g6JsZPvnYm89pW0vRlY3LXyQalUOtMQ&#13;&#10;O9Smw6cay+/92Wk4vJy+PhP1Wu3cohv8qCS5tdT6/m7cbXg8bkBEHOPfB1w7cH4oONjRn8kG0WqY&#13;&#10;zNOUqQzMk3QBginrWbIEcbyeVokCWeTyf5XiFwAA//8DAFBLAQItABQABgAIAAAAIQC2gziS/gAA&#13;&#10;AOEBAAATAAAAAAAAAAAAAAAAAAAAAABbQ29udGVudF9UeXBlc10ueG1sUEsBAi0AFAAGAAgAAAAh&#13;&#10;ADj9If/WAAAAlAEAAAsAAAAAAAAAAAAAAAAALwEAAF9yZWxzLy5yZWxzUEsBAi0AFAAGAAgAAAAh&#13;&#10;AOoqAJX0AgAALAYAAA4AAAAAAAAAAAAAAAAALgIAAGRycy9lMm9Eb2MueG1sUEsBAi0AFAAGAAgA&#13;&#10;AAAhAB3vltHjAAAAEgEAAA8AAAAAAAAAAAAAAAAATgUAAGRycy9kb3ducmV2LnhtbFBLBQYAAAAA&#13;&#10;BAAEAPMAAABeBgAAAAA=&#13;&#10;" o:allowincell="f" filled="f" stroked="f">
                <v:textbox>
                  <w:txbxContent>
                    <w:p w:rsidR="00977B14" w:rsidRPr="00094063" w:rsidRDefault="00977B14" w:rsidP="0072526F">
                      <w:pPr>
                        <w:jc w:val="center"/>
                        <w:rPr>
                          <w:rFonts w:ascii="Arial" w:hAnsi="Arial" w:cs="Arial"/>
                          <w:i/>
                          <w:color w:val="FFFFFF" w:themeColor="background1"/>
                          <w:sz w:val="12"/>
                          <w:szCs w:val="36"/>
                        </w:rPr>
                      </w:pPr>
                      <w:r w:rsidRPr="0072526F">
                        <w:rPr>
                          <w:rFonts w:ascii="Arial" w:hAnsi="Arial" w:cs="Arial"/>
                          <w:color w:val="FFFFFF" w:themeColor="background1"/>
                          <w:sz w:val="18"/>
                          <w:szCs w:val="22"/>
                          <w:lang w:eastAsia="en-US"/>
                        </w:rPr>
                        <w:t>Produced by the ET 2020 Working Groups</w:t>
                      </w:r>
                    </w:p>
                  </w:txbxContent>
                </v:textbox>
                <w10:wrap anchorx="margin"/>
              </v:shape>
            </w:pict>
          </mc:Fallback>
        </mc:AlternateContent>
      </w:r>
      <w:r w:rsidR="0072526F">
        <w:rPr>
          <w:noProof/>
          <w:sz w:val="18"/>
          <w:szCs w:val="18"/>
        </w:rPr>
        <mc:AlternateContent>
          <mc:Choice Requires="wps">
            <w:drawing>
              <wp:anchor distT="0" distB="0" distL="114300" distR="114300" simplePos="0" relativeHeight="251671552" behindDoc="1" locked="0" layoutInCell="1" allowOverlap="1" wp14:anchorId="6705D275" wp14:editId="37238EBB">
                <wp:simplePos x="0" y="0"/>
                <wp:positionH relativeFrom="margin">
                  <wp:posOffset>-1375410</wp:posOffset>
                </wp:positionH>
                <wp:positionV relativeFrom="margin">
                  <wp:posOffset>5978525</wp:posOffset>
                </wp:positionV>
                <wp:extent cx="7861935" cy="3499485"/>
                <wp:effectExtent l="0" t="0" r="5715" b="5715"/>
                <wp:wrapNone/>
                <wp:docPr id="3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935" cy="3499485"/>
                        </a:xfrm>
                        <a:prstGeom prst="rect">
                          <a:avLst/>
                        </a:prstGeom>
                        <a:solidFill>
                          <a:srgbClr val="093D4D"/>
                        </a:solid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977B14" w:rsidRPr="00771F87" w:rsidRDefault="00977B14" w:rsidP="00771F87">
                            <w:pPr>
                              <w:jc w:val="cente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5D275" id="Rectangle 79" o:spid="_x0000_s1029" style="position:absolute;left:0;text-align:left;margin-left:-108.3pt;margin-top:470.75pt;width:619.05pt;height:275.5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U3MfgIAAKcEAAAOAAAAZHJzL2Uyb0RvYy54bWysVNuOmzAQfa/Uf7D8znIJhICWrNhQqkq9&#13;&#10;rLrtBxgwwaqxqe2EbFf9945Ndjdt36rmwZphZs6cueX65jRydKRKMykKHF4FGFHRyo6JfYG/fqm9&#13;&#10;DUbaENERLgUt8APV+Gb7+tX1POU0koPkHVUIQITO56nAgzFT7vu6HehI9JWcqABjL9VIDKhq73eK&#13;&#10;zIA+cj8KgrU/S9VNSrZUa/haLUa8dfh9T1vzqe81NYgXGLgZ9yr3Nvb1t9ck3ysyDaw90yD/wGIk&#13;&#10;TEDSZ6iKGIIOiv0FNbJWSS17c9XK0Zd9z1rqaoBqwuCPau4HMlFXCzRHT89t0v8Ptv14vFOIdQVe&#13;&#10;QXsEGWFGn6FrROw5RWlmGzRPOge/++lO2RL19F623zQScjeAGy2VkvNASQe0Quvv/xZgFQ2hqJk/&#13;&#10;yA7gycFI16tTr0YLCF1AJzeSh+eR0JNBLXxMN+swWyUYtWBbxVkWbxKXg+RP4ZPS5i2VI7JCgRWw&#13;&#10;d/Dk+F4bS4fkTy6OvuSsqxnnTlH7ZscVOhK7H9mqiqszur504wLNBc6SKHHIQtp4tzojM7C/nI0F&#13;&#10;3gT2Z8NJbtvxRnRONoTxRQYmXFgzVAfcztKyJ491WUbralV51SZLvbihkbepg9i7LeMk3KVpHVbp&#13;&#10;zwXdNsct1+MuSaMyTTJvXSahF4fBxivLIPKqugzKIK53WXzrgiD1U1I3HjuRZbLm1JyWBbDgdlqN&#13;&#10;7B5gXkou1wLXDcIg1Q+MZriUAuvvB6IoRvydgJlnYRzb03JKDIRAUZeW5tJCRAtQBTYYLeLOLOd4&#13;&#10;mBTbD5ApPPe4hD3pmZvgC6vzdsE1uMGeL9ee26XuvF7+X7a/AAAA//8DAFBLAwQUAAYACAAAACEA&#13;&#10;g01S9eYAAAATAQAADwAAAGRycy9kb3ducmV2LnhtbExPTUvDQBC9C/6HZQQv0m4SarBpNkUUEbxY&#13;&#10;6xfettlpEpudDdltE/+9k5NehjfMm/eRr0fbihP2vnGkIJ5HIJBKZxqqFLy9PsxuQPigyejWESr4&#13;&#10;QQ/r4vws15lxA73gaRsqwSLkM62gDqHLpPRljVb7ueuQ+LZ3vdWB176SptcDi9tWJlGUSqsbYoda&#13;&#10;d3hXY3nYHq2CJ2fehys/fH99NHs60Obz+bEjpS4vxvsVj9sViIBj+PuAqQPnh4KD7dyRjBetglkS&#13;&#10;pylzFSwX8TWIiRIlE9oxWiyTFGSRy/9dil8AAAD//wMAUEsBAi0AFAAGAAgAAAAhALaDOJL+AAAA&#13;&#10;4QEAABMAAAAAAAAAAAAAAAAAAAAAAFtDb250ZW50X1R5cGVzXS54bWxQSwECLQAUAAYACAAAACEA&#13;&#10;OP0h/9YAAACUAQAACwAAAAAAAAAAAAAAAAAvAQAAX3JlbHMvLnJlbHNQSwECLQAUAAYACAAAACEA&#13;&#10;2B1NzH4CAACnBAAADgAAAAAAAAAAAAAAAAAuAgAAZHJzL2Uyb0RvYy54bWxQSwECLQAUAAYACAAA&#13;&#10;ACEAg01S9eYAAAATAQAADwAAAAAAAAAAAAAAAADYBAAAZHJzL2Rvd25yZXYueG1sUEsFBgAAAAAE&#13;&#10;AAQA8wAAAOsFAAAAAA==&#13;&#10;" fillcolor="#093d4d" stroked="f">
                <v:textbox>
                  <w:txbxContent>
                    <w:p w:rsidR="00977B14" w:rsidRPr="00771F87" w:rsidRDefault="00977B14" w:rsidP="00771F87">
                      <w:pPr>
                        <w:jc w:val="center"/>
                        <w:rPr>
                          <w:lang w:val="nl-BE"/>
                        </w:rPr>
                      </w:pPr>
                    </w:p>
                  </w:txbxContent>
                </v:textbox>
                <w10:wrap anchorx="margin" anchory="margin"/>
              </v:rect>
            </w:pict>
          </mc:Fallback>
        </mc:AlternateContent>
      </w:r>
      <w:r w:rsidR="004909EC">
        <w:rPr>
          <w:rFonts w:cs="Arial"/>
          <w:b/>
          <w:bCs/>
          <w:noProof/>
          <w:color w:val="263673"/>
          <w:kern w:val="32"/>
          <w:sz w:val="28"/>
          <w:szCs w:val="32"/>
        </w:rPr>
        <w:drawing>
          <wp:anchor distT="0" distB="0" distL="114300" distR="114300" simplePos="0" relativeHeight="251668479" behindDoc="1" locked="0" layoutInCell="1" allowOverlap="1" wp14:anchorId="33A9342F" wp14:editId="7FEB8E5F">
            <wp:simplePos x="0" y="0"/>
            <wp:positionH relativeFrom="page">
              <wp:posOffset>1885950</wp:posOffset>
            </wp:positionH>
            <wp:positionV relativeFrom="page">
              <wp:posOffset>2061210</wp:posOffset>
            </wp:positionV>
            <wp:extent cx="5381625" cy="5635625"/>
            <wp:effectExtent l="0" t="0" r="0" b="0"/>
            <wp:wrapThrough wrapText="bothSides">
              <wp:wrapPolygon edited="0">
                <wp:start x="11316" y="876"/>
                <wp:lineTo x="8334" y="1387"/>
                <wp:lineTo x="7187" y="1752"/>
                <wp:lineTo x="7187" y="2190"/>
                <wp:lineTo x="4741" y="2629"/>
                <wp:lineTo x="3823" y="2921"/>
                <wp:lineTo x="3823" y="3359"/>
                <wp:lineTo x="3441" y="4527"/>
                <wp:lineTo x="3058" y="5111"/>
                <wp:lineTo x="2905" y="5695"/>
                <wp:lineTo x="1912" y="6863"/>
                <wp:lineTo x="1682" y="7301"/>
                <wp:lineTo x="1529" y="7813"/>
                <wp:lineTo x="2217" y="9200"/>
                <wp:lineTo x="1529" y="10368"/>
                <wp:lineTo x="1376" y="10806"/>
                <wp:lineTo x="1376" y="11901"/>
                <wp:lineTo x="2676" y="12704"/>
                <wp:lineTo x="3211" y="12704"/>
                <wp:lineTo x="3976" y="13873"/>
                <wp:lineTo x="3823" y="14457"/>
                <wp:lineTo x="3899" y="15552"/>
                <wp:lineTo x="6576" y="16209"/>
                <wp:lineTo x="8564" y="16209"/>
                <wp:lineTo x="8564" y="16574"/>
                <wp:lineTo x="9175" y="17377"/>
                <wp:lineTo x="13533" y="18546"/>
                <wp:lineTo x="12387" y="19203"/>
                <wp:lineTo x="12234" y="19422"/>
                <wp:lineTo x="12463" y="19787"/>
                <wp:lineTo x="13686" y="20152"/>
                <wp:lineTo x="15598" y="20152"/>
                <wp:lineTo x="16745" y="19714"/>
                <wp:lineTo x="17051" y="19422"/>
                <wp:lineTo x="16668" y="19130"/>
                <wp:lineTo x="15521" y="18546"/>
                <wp:lineTo x="15445" y="15041"/>
                <wp:lineTo x="15063" y="13873"/>
                <wp:lineTo x="15674" y="13873"/>
                <wp:lineTo x="17356" y="12997"/>
                <wp:lineTo x="17433" y="12704"/>
                <wp:lineTo x="18274" y="11536"/>
                <wp:lineTo x="19650" y="11536"/>
                <wp:lineTo x="20644" y="11025"/>
                <wp:lineTo x="20568" y="10368"/>
                <wp:lineTo x="19803" y="6863"/>
                <wp:lineTo x="20491" y="5914"/>
                <wp:lineTo x="20568" y="5622"/>
                <wp:lineTo x="20185" y="4527"/>
                <wp:lineTo x="19421" y="4016"/>
                <wp:lineTo x="18274" y="3359"/>
                <wp:lineTo x="18350" y="2994"/>
                <wp:lineTo x="17051" y="2263"/>
                <wp:lineTo x="16362" y="2190"/>
                <wp:lineTo x="16515" y="1606"/>
                <wp:lineTo x="15521" y="1314"/>
                <wp:lineTo x="12157" y="876"/>
                <wp:lineTo x="11316" y="876"/>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04.png"/>
                    <pic:cNvPicPr/>
                  </pic:nvPicPr>
                  <pic:blipFill>
                    <a:blip r:embed="rId16">
                      <a:extLst>
                        <a:ext uri="{28A0092B-C50C-407E-A947-70E740481C1C}">
                          <a14:useLocalDpi xmlns:a14="http://schemas.microsoft.com/office/drawing/2010/main" val="0"/>
                        </a:ext>
                      </a:extLst>
                    </a:blip>
                    <a:stretch>
                      <a:fillRect/>
                    </a:stretch>
                  </pic:blipFill>
                  <pic:spPr>
                    <a:xfrm>
                      <a:off x="0" y="0"/>
                      <a:ext cx="5381625" cy="5635625"/>
                    </a:xfrm>
                    <a:prstGeom prst="rect">
                      <a:avLst/>
                    </a:prstGeom>
                  </pic:spPr>
                </pic:pic>
              </a:graphicData>
            </a:graphic>
            <wp14:sizeRelH relativeFrom="page">
              <wp14:pctWidth>0</wp14:pctWidth>
            </wp14:sizeRelH>
            <wp14:sizeRelV relativeFrom="page">
              <wp14:pctHeight>0</wp14:pctHeight>
            </wp14:sizeRelV>
          </wp:anchor>
        </w:drawing>
      </w:r>
      <w:r w:rsidR="004909EC">
        <w:rPr>
          <w:rFonts w:cs="Arial"/>
          <w:b/>
          <w:bCs/>
          <w:noProof/>
          <w:color w:val="263673"/>
          <w:kern w:val="32"/>
          <w:sz w:val="28"/>
          <w:szCs w:val="32"/>
        </w:rPr>
        <w:drawing>
          <wp:anchor distT="0" distB="0" distL="114300" distR="114300" simplePos="0" relativeHeight="251685888" behindDoc="1" locked="0" layoutInCell="1" allowOverlap="1" wp14:anchorId="2AB6BA56" wp14:editId="03484777">
            <wp:simplePos x="0" y="0"/>
            <wp:positionH relativeFrom="page">
              <wp:posOffset>0</wp:posOffset>
            </wp:positionH>
            <wp:positionV relativeFrom="page">
              <wp:posOffset>7134225</wp:posOffset>
            </wp:positionV>
            <wp:extent cx="7572375" cy="104775"/>
            <wp:effectExtent l="0" t="0" r="9525" b="9525"/>
            <wp:wrapThrough wrapText="bothSides">
              <wp:wrapPolygon edited="0">
                <wp:start x="0" y="0"/>
                <wp:lineTo x="0" y="19636"/>
                <wp:lineTo x="21573" y="19636"/>
                <wp:lineTo x="21573"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png"/>
                    <pic:cNvPicPr/>
                  </pic:nvPicPr>
                  <pic:blipFill>
                    <a:blip r:embed="rId17">
                      <a:extLst>
                        <a:ext uri="{28A0092B-C50C-407E-A947-70E740481C1C}">
                          <a14:useLocalDpi xmlns:a14="http://schemas.microsoft.com/office/drawing/2010/main" val="0"/>
                        </a:ext>
                      </a:extLst>
                    </a:blip>
                    <a:stretch>
                      <a:fillRect/>
                    </a:stretch>
                  </pic:blipFill>
                  <pic:spPr>
                    <a:xfrm>
                      <a:off x="0" y="0"/>
                      <a:ext cx="7572375" cy="104775"/>
                    </a:xfrm>
                    <a:prstGeom prst="rect">
                      <a:avLst/>
                    </a:prstGeom>
                  </pic:spPr>
                </pic:pic>
              </a:graphicData>
            </a:graphic>
            <wp14:sizeRelH relativeFrom="page">
              <wp14:pctWidth>0</wp14:pctWidth>
            </wp14:sizeRelH>
            <wp14:sizeRelV relativeFrom="page">
              <wp14:pctHeight>0</wp14:pctHeight>
            </wp14:sizeRelV>
          </wp:anchor>
        </w:drawing>
      </w:r>
    </w:p>
    <w:p w:rsidR="0077627C" w:rsidRDefault="0077627C" w:rsidP="0077627C">
      <w:pPr>
        <w:spacing w:after="240"/>
        <w:jc w:val="center"/>
        <w:rPr>
          <w:rFonts w:ascii="Arial" w:hAnsi="Arial" w:cs="Arial"/>
          <w:b/>
          <w:color w:val="0070C0"/>
          <w:spacing w:val="4"/>
          <w:sz w:val="24"/>
          <w:szCs w:val="20"/>
        </w:rPr>
      </w:pPr>
      <w:r w:rsidRPr="0077627C">
        <w:rPr>
          <w:rFonts w:ascii="Arial" w:hAnsi="Arial" w:cs="Arial"/>
          <w:b/>
          <w:color w:val="0070C0"/>
          <w:spacing w:val="4"/>
          <w:sz w:val="24"/>
          <w:szCs w:val="20"/>
        </w:rPr>
        <w:lastRenderedPageBreak/>
        <w:t xml:space="preserve"> </w:t>
      </w:r>
      <w:r w:rsidRPr="00CA0FC5">
        <w:rPr>
          <w:rFonts w:ascii="Arial" w:hAnsi="Arial" w:cs="Arial"/>
          <w:b/>
          <w:color w:val="0070C0"/>
          <w:spacing w:val="4"/>
          <w:sz w:val="24"/>
          <w:szCs w:val="20"/>
        </w:rPr>
        <w:t>ET2020 Working Group on Promoting Citizenship and the Common Values of Freedom, Tolerance and Non-Discrimination through Education</w:t>
      </w:r>
      <w:r>
        <w:rPr>
          <w:rFonts w:ascii="Arial" w:hAnsi="Arial" w:cs="Arial"/>
          <w:b/>
          <w:color w:val="0070C0"/>
          <w:spacing w:val="4"/>
          <w:sz w:val="24"/>
          <w:szCs w:val="20"/>
        </w:rPr>
        <w:t xml:space="preserve"> 2016-2018</w:t>
      </w:r>
    </w:p>
    <w:p w:rsidR="0077627C" w:rsidRPr="00383A3F" w:rsidRDefault="0077627C" w:rsidP="0077627C">
      <w:pPr>
        <w:spacing w:after="240"/>
        <w:jc w:val="center"/>
        <w:rPr>
          <w:rFonts w:ascii="Arial" w:hAnsi="Arial" w:cs="Arial"/>
          <w:b/>
          <w:color w:val="0070C0"/>
          <w:spacing w:val="4"/>
          <w:sz w:val="24"/>
          <w:szCs w:val="20"/>
        </w:rPr>
      </w:pPr>
      <w:r>
        <w:rPr>
          <w:rFonts w:ascii="Arial" w:hAnsi="Arial" w:cs="Arial"/>
          <w:b/>
          <w:color w:val="0070C0"/>
          <w:spacing w:val="4"/>
          <w:sz w:val="24"/>
          <w:szCs w:val="20"/>
        </w:rPr>
        <w:t>Draft Elements for a Policy Framework</w:t>
      </w:r>
    </w:p>
    <w:p w:rsidR="0077627C" w:rsidRPr="00383A3F" w:rsidRDefault="0077627C" w:rsidP="0077627C">
      <w:pPr>
        <w:rPr>
          <w:rFonts w:ascii="Arial" w:hAnsi="Arial" w:cs="Arial"/>
          <w:b/>
          <w:color w:val="0070C0"/>
          <w:spacing w:val="4"/>
          <w:sz w:val="20"/>
          <w:szCs w:val="20"/>
        </w:rPr>
      </w:pPr>
      <w:r w:rsidRPr="00383A3F">
        <w:rPr>
          <w:rFonts w:ascii="Arial" w:hAnsi="Arial" w:cs="Arial"/>
          <w:b/>
          <w:color w:val="0070C0"/>
          <w:spacing w:val="4"/>
          <w:sz w:val="20"/>
          <w:szCs w:val="20"/>
        </w:rPr>
        <w:t>Preamble</w:t>
      </w:r>
    </w:p>
    <w:p w:rsidR="0077627C" w:rsidRPr="009167F9" w:rsidRDefault="0077627C" w:rsidP="0077627C">
      <w:pPr>
        <w:rPr>
          <w:rFonts w:ascii="Arial" w:hAnsi="Arial" w:cs="Arial"/>
          <w:spacing w:val="4"/>
          <w:sz w:val="20"/>
          <w:szCs w:val="20"/>
        </w:rPr>
      </w:pPr>
      <w:r w:rsidRPr="009167F9">
        <w:rPr>
          <w:rFonts w:ascii="Arial" w:hAnsi="Arial" w:cs="Arial"/>
          <w:spacing w:val="4"/>
          <w:sz w:val="20"/>
          <w:szCs w:val="20"/>
        </w:rPr>
        <w:t>Th</w:t>
      </w:r>
      <w:r>
        <w:rPr>
          <w:rFonts w:ascii="Arial" w:hAnsi="Arial" w:cs="Arial"/>
          <w:spacing w:val="4"/>
          <w:sz w:val="20"/>
          <w:szCs w:val="20"/>
        </w:rPr>
        <w:t>e</w:t>
      </w:r>
      <w:r w:rsidRPr="009167F9">
        <w:rPr>
          <w:rFonts w:ascii="Arial" w:hAnsi="Arial" w:cs="Arial"/>
          <w:spacing w:val="4"/>
          <w:sz w:val="20"/>
          <w:szCs w:val="20"/>
        </w:rPr>
        <w:t>s</w:t>
      </w:r>
      <w:r>
        <w:rPr>
          <w:rFonts w:ascii="Arial" w:hAnsi="Arial" w:cs="Arial"/>
          <w:spacing w:val="4"/>
          <w:sz w:val="20"/>
          <w:szCs w:val="20"/>
        </w:rPr>
        <w:t>e</w:t>
      </w:r>
      <w:r w:rsidRPr="009167F9">
        <w:rPr>
          <w:rFonts w:ascii="Arial" w:hAnsi="Arial" w:cs="Arial"/>
          <w:spacing w:val="4"/>
          <w:sz w:val="20"/>
          <w:szCs w:val="20"/>
        </w:rPr>
        <w:t xml:space="preserve"> </w:t>
      </w:r>
      <w:r>
        <w:rPr>
          <w:rFonts w:ascii="Arial" w:hAnsi="Arial" w:cs="Arial"/>
          <w:spacing w:val="4"/>
          <w:sz w:val="20"/>
          <w:szCs w:val="20"/>
        </w:rPr>
        <w:t xml:space="preserve">elements for a </w:t>
      </w:r>
      <w:r w:rsidRPr="009167F9">
        <w:rPr>
          <w:rFonts w:ascii="Arial" w:hAnsi="Arial" w:cs="Arial"/>
          <w:spacing w:val="4"/>
          <w:sz w:val="20"/>
          <w:szCs w:val="20"/>
        </w:rPr>
        <w:t>Policy Framework ha</w:t>
      </w:r>
      <w:r>
        <w:rPr>
          <w:rFonts w:ascii="Arial" w:hAnsi="Arial" w:cs="Arial"/>
          <w:spacing w:val="4"/>
          <w:sz w:val="20"/>
          <w:szCs w:val="20"/>
        </w:rPr>
        <w:t xml:space="preserve">ve </w:t>
      </w:r>
      <w:r w:rsidRPr="009167F9">
        <w:rPr>
          <w:rFonts w:ascii="Arial" w:hAnsi="Arial" w:cs="Arial"/>
          <w:spacing w:val="4"/>
          <w:sz w:val="20"/>
          <w:szCs w:val="20"/>
        </w:rPr>
        <w:t xml:space="preserve">been developed by the ET2020 Working Group on </w:t>
      </w:r>
      <w:r w:rsidR="00960186">
        <w:rPr>
          <w:rFonts w:ascii="Arial" w:hAnsi="Arial" w:cs="Arial"/>
          <w:spacing w:val="4"/>
          <w:sz w:val="20"/>
          <w:szCs w:val="20"/>
        </w:rPr>
        <w:t>"</w:t>
      </w:r>
      <w:r w:rsidRPr="009167F9">
        <w:rPr>
          <w:rFonts w:ascii="Arial" w:hAnsi="Arial" w:cs="Arial"/>
          <w:spacing w:val="4"/>
          <w:sz w:val="20"/>
          <w:szCs w:val="20"/>
        </w:rPr>
        <w:t>Promoting Citizenship and the Common Values of Freedom, Tolerance and Non-Discrimination through Education</w:t>
      </w:r>
      <w:r w:rsidR="00C161AD">
        <w:rPr>
          <w:rFonts w:ascii="Arial" w:hAnsi="Arial" w:cs="Arial"/>
          <w:spacing w:val="4"/>
          <w:sz w:val="20"/>
          <w:szCs w:val="20"/>
        </w:rPr>
        <w:t>"</w:t>
      </w:r>
      <w:r w:rsidRPr="009167F9">
        <w:rPr>
          <w:rFonts w:ascii="Arial" w:hAnsi="Arial" w:cs="Arial"/>
          <w:spacing w:val="4"/>
          <w:sz w:val="20"/>
          <w:szCs w:val="20"/>
        </w:rPr>
        <w:t xml:space="preserve"> in the period 2016-2018. The Working Group comprises experts from 27 EU Member States, eight EFTA/Candidate countries, four international organisations and eight social partners/civil society organisations.</w:t>
      </w:r>
    </w:p>
    <w:p w:rsidR="0077627C" w:rsidRPr="009167F9" w:rsidRDefault="0077627C" w:rsidP="0077627C">
      <w:pPr>
        <w:rPr>
          <w:rFonts w:ascii="Arial" w:hAnsi="Arial" w:cs="Arial"/>
          <w:spacing w:val="4"/>
          <w:sz w:val="20"/>
          <w:szCs w:val="20"/>
        </w:rPr>
      </w:pPr>
      <w:r w:rsidRPr="009167F9">
        <w:rPr>
          <w:rFonts w:ascii="Arial" w:hAnsi="Arial" w:cs="Arial"/>
          <w:spacing w:val="4"/>
          <w:sz w:val="20"/>
          <w:szCs w:val="20"/>
        </w:rPr>
        <w:t xml:space="preserve">Over the 2016-2018 </w:t>
      </w:r>
      <w:r>
        <w:rPr>
          <w:rFonts w:ascii="Arial" w:hAnsi="Arial" w:cs="Arial"/>
          <w:spacing w:val="4"/>
          <w:sz w:val="20"/>
          <w:szCs w:val="20"/>
        </w:rPr>
        <w:t>period</w:t>
      </w:r>
      <w:r w:rsidR="00616CDA">
        <w:rPr>
          <w:rFonts w:ascii="Arial" w:hAnsi="Arial" w:cs="Arial"/>
          <w:spacing w:val="4"/>
          <w:sz w:val="20"/>
          <w:szCs w:val="20"/>
        </w:rPr>
        <w:t>,</w:t>
      </w:r>
      <w:r>
        <w:rPr>
          <w:rFonts w:ascii="Arial" w:hAnsi="Arial" w:cs="Arial"/>
          <w:spacing w:val="4"/>
          <w:sz w:val="20"/>
          <w:szCs w:val="20"/>
        </w:rPr>
        <w:t xml:space="preserve"> </w:t>
      </w:r>
      <w:r w:rsidRPr="009167F9">
        <w:rPr>
          <w:rFonts w:ascii="Arial" w:hAnsi="Arial" w:cs="Arial"/>
          <w:spacing w:val="4"/>
          <w:sz w:val="20"/>
          <w:szCs w:val="20"/>
        </w:rPr>
        <w:t>the Working Group focused on four key themes, inspired by the policy areas underlined in the Paris Declaration</w:t>
      </w:r>
      <w:r w:rsidRPr="009167F9">
        <w:rPr>
          <w:rStyle w:val="FootnoteReference"/>
          <w:rFonts w:ascii="Arial" w:hAnsi="Arial" w:cs="Arial"/>
          <w:spacing w:val="4"/>
          <w:sz w:val="20"/>
          <w:szCs w:val="20"/>
        </w:rPr>
        <w:footnoteReference w:id="1"/>
      </w:r>
      <w:r w:rsidRPr="009167F9">
        <w:rPr>
          <w:rFonts w:ascii="Arial" w:hAnsi="Arial" w:cs="Arial"/>
          <w:spacing w:val="4"/>
          <w:sz w:val="20"/>
          <w:szCs w:val="20"/>
        </w:rPr>
        <w:t>:</w:t>
      </w:r>
    </w:p>
    <w:p w:rsidR="0077627C" w:rsidRPr="009167F9" w:rsidRDefault="0077627C" w:rsidP="0077627C">
      <w:pPr>
        <w:pStyle w:val="ListParagraph"/>
        <w:numPr>
          <w:ilvl w:val="0"/>
          <w:numId w:val="14"/>
        </w:numPr>
        <w:spacing w:after="200" w:line="276" w:lineRule="auto"/>
        <w:contextualSpacing/>
        <w:rPr>
          <w:rFonts w:ascii="Arial" w:hAnsi="Arial" w:cs="Arial"/>
          <w:spacing w:val="4"/>
          <w:sz w:val="20"/>
          <w:szCs w:val="20"/>
        </w:rPr>
      </w:pPr>
      <w:r w:rsidRPr="009167F9">
        <w:rPr>
          <w:rFonts w:ascii="Arial" w:hAnsi="Arial" w:cs="Arial"/>
          <w:spacing w:val="4"/>
          <w:sz w:val="20"/>
          <w:szCs w:val="20"/>
        </w:rPr>
        <w:t>Enhancing critical thinking and media literacy to develop resistance to all forms of discrimination and indoctrination;</w:t>
      </w:r>
    </w:p>
    <w:p w:rsidR="0077627C" w:rsidRPr="009167F9" w:rsidRDefault="0077627C" w:rsidP="0077627C">
      <w:pPr>
        <w:pStyle w:val="ListParagraph"/>
        <w:numPr>
          <w:ilvl w:val="0"/>
          <w:numId w:val="14"/>
        </w:numPr>
        <w:spacing w:after="200" w:line="276" w:lineRule="auto"/>
        <w:contextualSpacing/>
        <w:rPr>
          <w:rFonts w:ascii="Arial" w:hAnsi="Arial" w:cs="Arial"/>
          <w:spacing w:val="4"/>
          <w:sz w:val="20"/>
          <w:szCs w:val="20"/>
        </w:rPr>
      </w:pPr>
      <w:r w:rsidRPr="009167F9">
        <w:rPr>
          <w:rFonts w:ascii="Arial" w:hAnsi="Arial" w:cs="Arial"/>
          <w:spacing w:val="4"/>
          <w:sz w:val="20"/>
          <w:szCs w:val="20"/>
        </w:rPr>
        <w:t>Ensuring that children and young people acquire social and civic competences;</w:t>
      </w:r>
    </w:p>
    <w:p w:rsidR="0077627C" w:rsidRPr="009167F9" w:rsidRDefault="0077627C" w:rsidP="0077627C">
      <w:pPr>
        <w:pStyle w:val="ListParagraph"/>
        <w:numPr>
          <w:ilvl w:val="0"/>
          <w:numId w:val="14"/>
        </w:numPr>
        <w:spacing w:after="200" w:line="276" w:lineRule="auto"/>
        <w:contextualSpacing/>
        <w:rPr>
          <w:rFonts w:ascii="Arial" w:hAnsi="Arial" w:cs="Arial"/>
          <w:spacing w:val="4"/>
          <w:sz w:val="20"/>
          <w:szCs w:val="20"/>
        </w:rPr>
      </w:pPr>
      <w:r w:rsidRPr="009167F9">
        <w:rPr>
          <w:rFonts w:ascii="Arial" w:hAnsi="Arial" w:cs="Arial"/>
          <w:spacing w:val="4"/>
          <w:sz w:val="20"/>
          <w:szCs w:val="20"/>
        </w:rPr>
        <w:t>Fostering the education of disadvantaged children and young people and combatting discrimination;</w:t>
      </w:r>
    </w:p>
    <w:p w:rsidR="0077627C" w:rsidRPr="009167F9" w:rsidRDefault="0077627C" w:rsidP="0077627C">
      <w:pPr>
        <w:pStyle w:val="ListParagraph"/>
        <w:numPr>
          <w:ilvl w:val="0"/>
          <w:numId w:val="14"/>
        </w:numPr>
        <w:spacing w:after="200" w:line="276" w:lineRule="auto"/>
        <w:contextualSpacing/>
        <w:rPr>
          <w:rFonts w:ascii="Arial" w:hAnsi="Arial" w:cs="Arial"/>
          <w:spacing w:val="4"/>
          <w:sz w:val="20"/>
          <w:szCs w:val="20"/>
        </w:rPr>
      </w:pPr>
      <w:r w:rsidRPr="009167F9">
        <w:rPr>
          <w:rFonts w:ascii="Arial" w:hAnsi="Arial" w:cs="Arial"/>
          <w:spacing w:val="4"/>
          <w:sz w:val="20"/>
          <w:szCs w:val="20"/>
        </w:rPr>
        <w:t>Promoting intercultural understanding through all forms of learning.</w:t>
      </w:r>
    </w:p>
    <w:p w:rsidR="0077627C" w:rsidRPr="009167F9" w:rsidRDefault="0077627C" w:rsidP="0077627C">
      <w:pPr>
        <w:rPr>
          <w:rFonts w:ascii="Arial" w:hAnsi="Arial" w:cs="Arial"/>
          <w:spacing w:val="4"/>
          <w:sz w:val="20"/>
          <w:szCs w:val="20"/>
        </w:rPr>
      </w:pPr>
      <w:r w:rsidRPr="009167F9">
        <w:rPr>
          <w:rFonts w:ascii="Arial" w:hAnsi="Arial" w:cs="Arial"/>
          <w:spacing w:val="4"/>
          <w:sz w:val="20"/>
          <w:szCs w:val="20"/>
        </w:rPr>
        <w:t xml:space="preserve">The </w:t>
      </w:r>
      <w:r>
        <w:rPr>
          <w:rFonts w:ascii="Arial" w:hAnsi="Arial" w:cs="Arial"/>
          <w:spacing w:val="4"/>
          <w:sz w:val="20"/>
          <w:szCs w:val="20"/>
        </w:rPr>
        <w:t xml:space="preserve">elements for a </w:t>
      </w:r>
      <w:r w:rsidRPr="009167F9">
        <w:rPr>
          <w:rFonts w:ascii="Arial" w:hAnsi="Arial" w:cs="Arial"/>
          <w:spacing w:val="4"/>
          <w:sz w:val="20"/>
          <w:szCs w:val="20"/>
        </w:rPr>
        <w:t xml:space="preserve">Policy Framework build on the </w:t>
      </w:r>
      <w:r w:rsidR="00616CDA">
        <w:rPr>
          <w:rFonts w:ascii="Arial" w:hAnsi="Arial" w:cs="Arial"/>
          <w:spacing w:val="4"/>
          <w:sz w:val="20"/>
          <w:szCs w:val="20"/>
        </w:rPr>
        <w:t xml:space="preserve">above-mentioned </w:t>
      </w:r>
      <w:r w:rsidRPr="009167F9">
        <w:rPr>
          <w:rFonts w:ascii="Arial" w:hAnsi="Arial" w:cs="Arial"/>
          <w:spacing w:val="4"/>
          <w:sz w:val="20"/>
          <w:szCs w:val="20"/>
        </w:rPr>
        <w:t>key activities undertaken by the Group to develop further insights and exchange good practice on these themes, which included: six Peer Learning Activities</w:t>
      </w:r>
      <w:r w:rsidRPr="009167F9">
        <w:rPr>
          <w:rStyle w:val="FootnoteReference"/>
          <w:rFonts w:ascii="Arial" w:hAnsi="Arial" w:cs="Arial"/>
          <w:spacing w:val="4"/>
          <w:sz w:val="20"/>
          <w:szCs w:val="20"/>
        </w:rPr>
        <w:footnoteReference w:id="2"/>
      </w:r>
      <w:r w:rsidRPr="009167F9">
        <w:rPr>
          <w:rFonts w:ascii="Arial" w:hAnsi="Arial" w:cs="Arial"/>
          <w:spacing w:val="4"/>
          <w:sz w:val="20"/>
          <w:szCs w:val="20"/>
        </w:rPr>
        <w:t>, seven Working Group meetings in Brussels and the collection of interesting and inspiring practices for the online Citizenship compendium</w:t>
      </w:r>
      <w:r w:rsidRPr="009167F9">
        <w:rPr>
          <w:rStyle w:val="FootnoteReference"/>
          <w:rFonts w:ascii="Arial" w:hAnsi="Arial" w:cs="Arial"/>
          <w:spacing w:val="4"/>
          <w:sz w:val="20"/>
          <w:szCs w:val="20"/>
        </w:rPr>
        <w:footnoteReference w:id="3"/>
      </w:r>
      <w:r w:rsidRPr="009167F9">
        <w:rPr>
          <w:rFonts w:ascii="Arial" w:hAnsi="Arial" w:cs="Arial"/>
          <w:spacing w:val="4"/>
          <w:sz w:val="20"/>
          <w:szCs w:val="20"/>
        </w:rPr>
        <w:t>.</w:t>
      </w:r>
    </w:p>
    <w:p w:rsidR="0077627C" w:rsidRPr="00383A3F" w:rsidRDefault="0077627C" w:rsidP="0077627C">
      <w:pPr>
        <w:rPr>
          <w:rFonts w:ascii="Arial" w:hAnsi="Arial" w:cs="Arial"/>
          <w:b/>
          <w:color w:val="0070C0"/>
          <w:spacing w:val="4"/>
          <w:sz w:val="20"/>
          <w:szCs w:val="20"/>
        </w:rPr>
      </w:pPr>
      <w:r w:rsidRPr="00383A3F">
        <w:rPr>
          <w:rFonts w:ascii="Arial" w:hAnsi="Arial" w:cs="Arial"/>
          <w:b/>
          <w:color w:val="0070C0"/>
          <w:spacing w:val="4"/>
          <w:sz w:val="20"/>
          <w:szCs w:val="20"/>
        </w:rPr>
        <w:t>Introduction</w:t>
      </w:r>
    </w:p>
    <w:p w:rsidR="0077627C" w:rsidRDefault="0077627C" w:rsidP="0077627C">
      <w:pPr>
        <w:rPr>
          <w:rFonts w:ascii="Arial" w:hAnsi="Arial" w:cs="Arial"/>
          <w:spacing w:val="4"/>
          <w:sz w:val="20"/>
          <w:szCs w:val="20"/>
        </w:rPr>
      </w:pPr>
      <w:r w:rsidRPr="009167F9">
        <w:rPr>
          <w:rFonts w:ascii="Arial" w:hAnsi="Arial" w:cs="Arial"/>
          <w:spacing w:val="4"/>
          <w:sz w:val="20"/>
          <w:szCs w:val="20"/>
        </w:rPr>
        <w:t xml:space="preserve">The </w:t>
      </w:r>
      <w:r>
        <w:rPr>
          <w:rFonts w:ascii="Arial" w:hAnsi="Arial" w:cs="Arial"/>
          <w:spacing w:val="4"/>
          <w:sz w:val="20"/>
          <w:szCs w:val="20"/>
        </w:rPr>
        <w:t xml:space="preserve">elements for a </w:t>
      </w:r>
      <w:r w:rsidRPr="009167F9">
        <w:rPr>
          <w:rFonts w:ascii="Arial" w:hAnsi="Arial" w:cs="Arial"/>
          <w:spacing w:val="4"/>
          <w:sz w:val="20"/>
          <w:szCs w:val="20"/>
        </w:rPr>
        <w:t>Policy Framework provide concrete and operational recommendations to support policymakers and practitioners in reviewing education and training systems for fostering</w:t>
      </w:r>
      <w:r w:rsidRPr="009167F9">
        <w:rPr>
          <w:rFonts w:ascii="Arial" w:eastAsiaTheme="minorEastAsia" w:hAnsi="Arial" w:cs="Arial"/>
          <w:iCs/>
          <w:sz w:val="20"/>
          <w:szCs w:val="20"/>
        </w:rPr>
        <w:t xml:space="preserve"> equity and inclusiveness in education and training by addressing</w:t>
      </w:r>
      <w:r w:rsidR="00942C8A">
        <w:rPr>
          <w:rFonts w:ascii="Arial" w:eastAsiaTheme="minorEastAsia" w:hAnsi="Arial" w:cs="Arial"/>
          <w:iCs/>
          <w:sz w:val="20"/>
          <w:szCs w:val="20"/>
        </w:rPr>
        <w:t xml:space="preserve"> </w:t>
      </w:r>
      <w:r w:rsidRPr="009167F9">
        <w:rPr>
          <w:rFonts w:ascii="Arial" w:eastAsiaTheme="minorEastAsia" w:hAnsi="Arial" w:cs="Arial"/>
          <w:iCs/>
          <w:sz w:val="20"/>
          <w:szCs w:val="20"/>
        </w:rPr>
        <w:t xml:space="preserve">the needs of all learners, promoting understanding and ownership of shared values, and </w:t>
      </w:r>
      <w:r w:rsidRPr="009167F9">
        <w:rPr>
          <w:rFonts w:ascii="Arial" w:eastAsiaTheme="minorEastAsia" w:hAnsi="Arial" w:cs="Arial"/>
          <w:sz w:val="20"/>
          <w:szCs w:val="20"/>
          <w:lang w:eastAsia="zh-CN"/>
        </w:rPr>
        <w:t>e</w:t>
      </w:r>
      <w:r w:rsidRPr="009167F9">
        <w:rPr>
          <w:rFonts w:ascii="Arial" w:eastAsiaTheme="minorEastAsia" w:hAnsi="Arial" w:cs="Arial"/>
          <w:iCs/>
          <w:sz w:val="20"/>
          <w:szCs w:val="20"/>
        </w:rPr>
        <w:t>nhancing the acquisition of social and civic competences</w:t>
      </w:r>
      <w:r w:rsidRPr="009167F9">
        <w:rPr>
          <w:rFonts w:ascii="Arial" w:hAnsi="Arial" w:cs="Arial"/>
          <w:spacing w:val="4"/>
          <w:sz w:val="20"/>
          <w:szCs w:val="20"/>
        </w:rPr>
        <w:t xml:space="preserve">. </w:t>
      </w:r>
    </w:p>
    <w:p w:rsidR="0077627C" w:rsidRPr="00AF756E" w:rsidRDefault="0077627C" w:rsidP="0077627C">
      <w:pPr>
        <w:rPr>
          <w:rFonts w:ascii="Arial" w:hAnsi="Arial" w:cs="Arial"/>
          <w:spacing w:val="4"/>
          <w:sz w:val="20"/>
          <w:szCs w:val="20"/>
        </w:rPr>
      </w:pPr>
      <w:r w:rsidRPr="00AF756E">
        <w:rPr>
          <w:rFonts w:ascii="Arial" w:hAnsi="Arial" w:cs="Arial"/>
          <w:spacing w:val="4"/>
          <w:sz w:val="20"/>
          <w:szCs w:val="20"/>
        </w:rPr>
        <w:t>The</w:t>
      </w:r>
      <w:r>
        <w:rPr>
          <w:rFonts w:ascii="Arial" w:hAnsi="Arial" w:cs="Arial"/>
          <w:spacing w:val="4"/>
          <w:sz w:val="20"/>
          <w:szCs w:val="20"/>
        </w:rPr>
        <w:t>y</w:t>
      </w:r>
      <w:r w:rsidRPr="00AF756E">
        <w:rPr>
          <w:rFonts w:ascii="Arial" w:hAnsi="Arial" w:cs="Arial"/>
          <w:spacing w:val="4"/>
          <w:sz w:val="20"/>
          <w:szCs w:val="20"/>
        </w:rPr>
        <w:t xml:space="preserve"> focus on the concept of inclusive education, which has been defined by the Working Group as</w:t>
      </w:r>
      <w:r>
        <w:rPr>
          <w:rFonts w:ascii="Arial" w:hAnsi="Arial" w:cs="Arial"/>
          <w:spacing w:val="4"/>
          <w:sz w:val="20"/>
          <w:szCs w:val="20"/>
        </w:rPr>
        <w:t xml:space="preserve"> follows</w:t>
      </w:r>
      <w:r w:rsidRPr="00AF756E">
        <w:rPr>
          <w:rFonts w:ascii="Arial" w:hAnsi="Arial" w:cs="Arial"/>
          <w:spacing w:val="4"/>
          <w:sz w:val="20"/>
          <w:szCs w:val="20"/>
        </w:rPr>
        <w:t>: “</w:t>
      </w:r>
      <w:r w:rsidRPr="00AF756E">
        <w:rPr>
          <w:rFonts w:ascii="Arial" w:hAnsi="Arial" w:cs="Arial"/>
          <w:i/>
          <w:spacing w:val="4"/>
          <w:sz w:val="20"/>
          <w:szCs w:val="20"/>
        </w:rPr>
        <w:t>Inclusive education aims to allow all learners to achieve their full potential by providing good quality education to all in mainstream settings with special attention to learners at risk of exclusion and underachievement by actively seeking out to support them and responding flexibly to the circumstances and needs of all learners, including through individuali</w:t>
      </w:r>
      <w:r>
        <w:rPr>
          <w:rFonts w:ascii="Arial" w:hAnsi="Arial" w:cs="Arial"/>
          <w:i/>
          <w:spacing w:val="4"/>
          <w:sz w:val="20"/>
          <w:szCs w:val="20"/>
        </w:rPr>
        <w:t>s</w:t>
      </w:r>
      <w:r w:rsidRPr="00AF756E">
        <w:rPr>
          <w:rFonts w:ascii="Arial" w:hAnsi="Arial" w:cs="Arial"/>
          <w:i/>
          <w:spacing w:val="4"/>
          <w:sz w:val="20"/>
          <w:szCs w:val="20"/>
        </w:rPr>
        <w:t>ed approaches, targeted support and cooperation with the families and local communities</w:t>
      </w:r>
      <w:r w:rsidRPr="00AF756E">
        <w:rPr>
          <w:rFonts w:ascii="Arial" w:hAnsi="Arial" w:cs="Arial"/>
          <w:spacing w:val="4"/>
          <w:sz w:val="20"/>
          <w:szCs w:val="20"/>
        </w:rPr>
        <w:t>.”</w:t>
      </w:r>
    </w:p>
    <w:p w:rsidR="0077627C" w:rsidRPr="009167F9" w:rsidRDefault="0077627C" w:rsidP="0077627C">
      <w:pPr>
        <w:autoSpaceDE w:val="0"/>
        <w:autoSpaceDN w:val="0"/>
        <w:adjustRightInd w:val="0"/>
        <w:rPr>
          <w:rFonts w:ascii="Arial" w:hAnsi="Arial" w:cs="Arial"/>
          <w:spacing w:val="4"/>
          <w:sz w:val="20"/>
          <w:szCs w:val="20"/>
        </w:rPr>
      </w:pPr>
      <w:r w:rsidRPr="009167F9">
        <w:rPr>
          <w:rFonts w:ascii="Arial" w:hAnsi="Arial" w:cs="Arial"/>
          <w:spacing w:val="4"/>
          <w:sz w:val="20"/>
          <w:szCs w:val="20"/>
        </w:rPr>
        <w:lastRenderedPageBreak/>
        <w:t>The</w:t>
      </w:r>
      <w:r>
        <w:rPr>
          <w:rFonts w:ascii="Arial" w:hAnsi="Arial" w:cs="Arial"/>
          <w:spacing w:val="4"/>
          <w:sz w:val="20"/>
          <w:szCs w:val="20"/>
        </w:rPr>
        <w:t xml:space="preserve"> elements for a Policy</w:t>
      </w:r>
      <w:r w:rsidRPr="009167F9">
        <w:rPr>
          <w:rFonts w:ascii="Arial" w:hAnsi="Arial" w:cs="Arial"/>
          <w:spacing w:val="4"/>
          <w:sz w:val="20"/>
          <w:szCs w:val="20"/>
        </w:rPr>
        <w:t xml:space="preserve"> Framework </w:t>
      </w:r>
      <w:r>
        <w:rPr>
          <w:rFonts w:ascii="Arial" w:hAnsi="Arial" w:cs="Arial"/>
          <w:spacing w:val="4"/>
          <w:sz w:val="20"/>
          <w:szCs w:val="20"/>
        </w:rPr>
        <w:t xml:space="preserve">are inspired </w:t>
      </w:r>
      <w:r w:rsidRPr="009167F9">
        <w:rPr>
          <w:rFonts w:ascii="Arial" w:hAnsi="Arial" w:cs="Arial"/>
          <w:spacing w:val="4"/>
          <w:sz w:val="20"/>
          <w:szCs w:val="20"/>
        </w:rPr>
        <w:t xml:space="preserve">by the common European values </w:t>
      </w:r>
      <w:r>
        <w:rPr>
          <w:rFonts w:ascii="Arial" w:hAnsi="Arial" w:cs="Arial"/>
          <w:spacing w:val="4"/>
          <w:sz w:val="20"/>
          <w:szCs w:val="20"/>
        </w:rPr>
        <w:t>a</w:t>
      </w:r>
      <w:r w:rsidRPr="009167F9">
        <w:rPr>
          <w:rFonts w:ascii="Arial" w:hAnsi="Arial" w:cs="Arial"/>
          <w:spacing w:val="4"/>
          <w:sz w:val="20"/>
          <w:szCs w:val="20"/>
        </w:rPr>
        <w:t xml:space="preserve">s </w:t>
      </w:r>
      <w:r>
        <w:rPr>
          <w:rFonts w:ascii="Arial" w:hAnsi="Arial" w:cs="Arial"/>
          <w:spacing w:val="4"/>
          <w:sz w:val="20"/>
          <w:szCs w:val="20"/>
        </w:rPr>
        <w:t>st</w:t>
      </w:r>
      <w:r w:rsidRPr="009167F9">
        <w:rPr>
          <w:rFonts w:ascii="Arial" w:hAnsi="Arial" w:cs="Arial"/>
          <w:spacing w:val="4"/>
          <w:sz w:val="20"/>
          <w:szCs w:val="20"/>
        </w:rPr>
        <w:t>ated in Article 2 of the Treaty o</w:t>
      </w:r>
      <w:r>
        <w:rPr>
          <w:rFonts w:ascii="Arial" w:hAnsi="Arial" w:cs="Arial"/>
          <w:spacing w:val="4"/>
          <w:sz w:val="20"/>
          <w:szCs w:val="20"/>
        </w:rPr>
        <w:t>n</w:t>
      </w:r>
      <w:r w:rsidRPr="009167F9">
        <w:rPr>
          <w:rFonts w:ascii="Arial" w:hAnsi="Arial" w:cs="Arial"/>
          <w:spacing w:val="4"/>
          <w:sz w:val="20"/>
          <w:szCs w:val="20"/>
        </w:rPr>
        <w:t xml:space="preserve"> European Union</w:t>
      </w:r>
      <w:r>
        <w:rPr>
          <w:rStyle w:val="FootnoteReference"/>
          <w:rFonts w:ascii="Arial" w:hAnsi="Arial" w:cs="Arial"/>
          <w:spacing w:val="4"/>
          <w:sz w:val="20"/>
          <w:szCs w:val="20"/>
        </w:rPr>
        <w:footnoteReference w:id="4"/>
      </w:r>
      <w:r w:rsidRPr="009167F9">
        <w:rPr>
          <w:rFonts w:ascii="Arial" w:hAnsi="Arial" w:cs="Arial"/>
          <w:spacing w:val="4"/>
          <w:sz w:val="20"/>
          <w:szCs w:val="20"/>
        </w:rPr>
        <w:t>,</w:t>
      </w:r>
      <w:r w:rsidRPr="00A069EA">
        <w:rPr>
          <w:rFonts w:ascii="Arial" w:hAnsi="Arial" w:cs="Arial"/>
          <w:spacing w:val="4"/>
          <w:sz w:val="20"/>
          <w:szCs w:val="20"/>
        </w:rPr>
        <w:t xml:space="preserve"> </w:t>
      </w:r>
      <w:r w:rsidRPr="009167F9">
        <w:rPr>
          <w:rFonts w:ascii="Arial" w:hAnsi="Arial" w:cs="Arial"/>
          <w:spacing w:val="4"/>
          <w:sz w:val="20"/>
          <w:szCs w:val="20"/>
        </w:rPr>
        <w:t xml:space="preserve">and recent </w:t>
      </w:r>
      <w:r>
        <w:rPr>
          <w:rFonts w:ascii="Arial" w:hAnsi="Arial" w:cs="Arial"/>
          <w:spacing w:val="4"/>
          <w:sz w:val="20"/>
          <w:szCs w:val="20"/>
        </w:rPr>
        <w:t xml:space="preserve">European policy developments, in particular </w:t>
      </w:r>
      <w:r w:rsidRPr="009167F9">
        <w:rPr>
          <w:rFonts w:ascii="Arial" w:hAnsi="Arial" w:cs="Arial"/>
          <w:spacing w:val="4"/>
          <w:sz w:val="20"/>
          <w:szCs w:val="20"/>
        </w:rPr>
        <w:t>the Paris Declaration</w:t>
      </w:r>
      <w:r>
        <w:rPr>
          <w:rFonts w:ascii="Arial" w:hAnsi="Arial" w:cs="Arial"/>
          <w:spacing w:val="4"/>
          <w:sz w:val="20"/>
          <w:szCs w:val="20"/>
        </w:rPr>
        <w:t xml:space="preserve">, the </w:t>
      </w:r>
      <w:r w:rsidRPr="00FB3AC6">
        <w:rPr>
          <w:rFonts w:ascii="Arial" w:hAnsi="Arial" w:cs="Arial"/>
          <w:spacing w:val="4"/>
          <w:sz w:val="20"/>
          <w:szCs w:val="20"/>
        </w:rPr>
        <w:t>Council Recommendation on key competences for lifelong learnin</w:t>
      </w:r>
      <w:r w:rsidRPr="00FB3AC6">
        <w:rPr>
          <w:rFonts w:ascii="Arial" w:hAnsi="Arial" w:cs="Arial"/>
          <w:sz w:val="20"/>
          <w:szCs w:val="20"/>
        </w:rPr>
        <w:t>g</w:t>
      </w:r>
      <w:r>
        <w:rPr>
          <w:rStyle w:val="FootnoteReference"/>
          <w:rFonts w:ascii="Arial" w:hAnsi="Arial" w:cs="Arial"/>
          <w:spacing w:val="4"/>
          <w:sz w:val="20"/>
          <w:szCs w:val="20"/>
        </w:rPr>
        <w:footnoteReference w:id="5"/>
      </w:r>
      <w:r w:rsidRPr="009167F9">
        <w:rPr>
          <w:rFonts w:ascii="Arial" w:hAnsi="Arial" w:cs="Arial"/>
          <w:spacing w:val="4"/>
          <w:sz w:val="20"/>
          <w:szCs w:val="20"/>
        </w:rPr>
        <w:t xml:space="preserve"> and the Council Recommendation on promoting common values, inclusive education and the European dimension of teaching</w:t>
      </w:r>
      <w:r w:rsidRPr="009167F9">
        <w:rPr>
          <w:vertAlign w:val="superscript"/>
        </w:rPr>
        <w:footnoteReference w:id="6"/>
      </w:r>
      <w:r w:rsidRPr="009167F9">
        <w:rPr>
          <w:rFonts w:ascii="Arial" w:hAnsi="Arial" w:cs="Arial"/>
          <w:spacing w:val="4"/>
          <w:sz w:val="20"/>
          <w:szCs w:val="20"/>
        </w:rPr>
        <w:t>. It sits alongside and complements Frameworks developed by other international bodies including the Council of Europe’s Reference Framework of Competences for Democratic Culture (RFCDC)</w:t>
      </w:r>
      <w:r w:rsidRPr="009167F9">
        <w:rPr>
          <w:rStyle w:val="FootnoteReference"/>
          <w:rFonts w:ascii="Arial" w:hAnsi="Arial" w:cs="Arial"/>
          <w:spacing w:val="4"/>
          <w:sz w:val="20"/>
          <w:szCs w:val="20"/>
        </w:rPr>
        <w:footnoteReference w:id="7"/>
      </w:r>
      <w:r w:rsidRPr="009167F9">
        <w:rPr>
          <w:rFonts w:ascii="Arial" w:hAnsi="Arial" w:cs="Arial"/>
          <w:spacing w:val="4"/>
          <w:sz w:val="20"/>
          <w:szCs w:val="20"/>
        </w:rPr>
        <w:t xml:space="preserve"> and the UNESCO-led Incheon Declaration for Education 2030</w:t>
      </w:r>
      <w:r w:rsidRPr="009167F9">
        <w:rPr>
          <w:rStyle w:val="FootnoteReference"/>
          <w:rFonts w:ascii="Arial" w:hAnsi="Arial" w:cs="Arial"/>
          <w:spacing w:val="4"/>
          <w:sz w:val="20"/>
          <w:szCs w:val="20"/>
        </w:rPr>
        <w:footnoteReference w:id="8"/>
      </w:r>
      <w:r w:rsidRPr="009167F9">
        <w:rPr>
          <w:rFonts w:ascii="Arial" w:hAnsi="Arial" w:cs="Arial"/>
          <w:spacing w:val="4"/>
          <w:sz w:val="20"/>
          <w:szCs w:val="20"/>
        </w:rPr>
        <w:t>.</w:t>
      </w:r>
    </w:p>
    <w:p w:rsidR="00942C8A" w:rsidRDefault="0077627C" w:rsidP="0077627C">
      <w:pPr>
        <w:rPr>
          <w:rFonts w:ascii="Arial" w:hAnsi="Arial" w:cs="Arial"/>
          <w:spacing w:val="4"/>
          <w:sz w:val="20"/>
          <w:szCs w:val="20"/>
        </w:rPr>
      </w:pPr>
      <w:r w:rsidRPr="009167F9">
        <w:rPr>
          <w:rFonts w:ascii="Arial" w:hAnsi="Arial" w:cs="Arial"/>
          <w:sz w:val="20"/>
          <w:szCs w:val="20"/>
        </w:rPr>
        <w:t>The</w:t>
      </w:r>
      <w:r w:rsidR="00616CDA">
        <w:rPr>
          <w:rFonts w:ascii="Arial" w:hAnsi="Arial" w:cs="Arial"/>
          <w:sz w:val="20"/>
          <w:szCs w:val="20"/>
        </w:rPr>
        <w:t>se</w:t>
      </w:r>
      <w:r w:rsidRPr="009167F9">
        <w:rPr>
          <w:rFonts w:ascii="Arial" w:hAnsi="Arial" w:cs="Arial"/>
          <w:sz w:val="20"/>
          <w:szCs w:val="20"/>
        </w:rPr>
        <w:t xml:space="preserve"> </w:t>
      </w:r>
      <w:r>
        <w:rPr>
          <w:rFonts w:ascii="Arial" w:hAnsi="Arial" w:cs="Arial"/>
          <w:sz w:val="20"/>
          <w:szCs w:val="20"/>
        </w:rPr>
        <w:t>elements</w:t>
      </w:r>
      <w:r w:rsidRPr="009167F9">
        <w:rPr>
          <w:rFonts w:ascii="Arial" w:hAnsi="Arial" w:cs="Arial"/>
          <w:sz w:val="20"/>
          <w:szCs w:val="20"/>
        </w:rPr>
        <w:t xml:space="preserve"> adopt </w:t>
      </w:r>
      <w:r w:rsidRPr="009167F9">
        <w:rPr>
          <w:rFonts w:ascii="Arial" w:hAnsi="Arial" w:cs="Arial"/>
          <w:spacing w:val="4"/>
          <w:sz w:val="20"/>
          <w:szCs w:val="20"/>
        </w:rPr>
        <w:t xml:space="preserve">a lifelong learning approach covering all </w:t>
      </w:r>
      <w:r w:rsidRPr="009167F9">
        <w:rPr>
          <w:rFonts w:ascii="Arial" w:hAnsi="Arial" w:cs="Arial"/>
          <w:sz w:val="20"/>
          <w:szCs w:val="20"/>
        </w:rPr>
        <w:t>levels and sectors of education</w:t>
      </w:r>
      <w:r w:rsidRPr="009167F9">
        <w:rPr>
          <w:rStyle w:val="FootnoteReference"/>
          <w:rFonts w:ascii="Arial" w:hAnsi="Arial" w:cs="Arial"/>
          <w:sz w:val="20"/>
          <w:szCs w:val="20"/>
        </w:rPr>
        <w:footnoteReference w:id="9"/>
      </w:r>
      <w:r w:rsidRPr="009167F9">
        <w:rPr>
          <w:rFonts w:ascii="Arial" w:hAnsi="Arial" w:cs="Arial"/>
          <w:sz w:val="20"/>
          <w:szCs w:val="20"/>
        </w:rPr>
        <w:t xml:space="preserve"> and all types of learning</w:t>
      </w:r>
      <w:r w:rsidRPr="009167F9">
        <w:rPr>
          <w:rStyle w:val="FootnoteReference"/>
          <w:rFonts w:ascii="Arial" w:hAnsi="Arial" w:cs="Arial"/>
          <w:sz w:val="20"/>
          <w:szCs w:val="20"/>
        </w:rPr>
        <w:footnoteReference w:id="10"/>
      </w:r>
      <w:r w:rsidRPr="009167F9">
        <w:rPr>
          <w:rFonts w:ascii="Arial" w:hAnsi="Arial" w:cs="Arial"/>
          <w:sz w:val="20"/>
          <w:szCs w:val="20"/>
        </w:rPr>
        <w:t>.</w:t>
      </w:r>
      <w:r w:rsidRPr="00A069EA">
        <w:rPr>
          <w:rFonts w:ascii="Arial" w:hAnsi="Arial" w:cs="Arial"/>
          <w:spacing w:val="4"/>
          <w:sz w:val="20"/>
          <w:szCs w:val="20"/>
        </w:rPr>
        <w:t xml:space="preserve"> </w:t>
      </w:r>
      <w:r>
        <w:rPr>
          <w:rFonts w:ascii="Arial" w:hAnsi="Arial" w:cs="Arial"/>
          <w:spacing w:val="4"/>
          <w:sz w:val="20"/>
          <w:szCs w:val="20"/>
        </w:rPr>
        <w:t xml:space="preserve">They are </w:t>
      </w:r>
      <w:r w:rsidRPr="009167F9">
        <w:rPr>
          <w:rFonts w:ascii="Arial" w:hAnsi="Arial" w:cs="Arial"/>
          <w:spacing w:val="4"/>
          <w:sz w:val="20"/>
          <w:szCs w:val="20"/>
        </w:rPr>
        <w:t>underpin</w:t>
      </w:r>
      <w:r>
        <w:rPr>
          <w:rFonts w:ascii="Arial" w:hAnsi="Arial" w:cs="Arial"/>
          <w:spacing w:val="4"/>
          <w:sz w:val="20"/>
          <w:szCs w:val="20"/>
        </w:rPr>
        <w:t>ned by concepts such as i</w:t>
      </w:r>
      <w:r w:rsidRPr="009167F9">
        <w:rPr>
          <w:rFonts w:ascii="Arial" w:hAnsi="Arial" w:cs="Arial"/>
          <w:spacing w:val="4"/>
          <w:sz w:val="20"/>
          <w:szCs w:val="20"/>
        </w:rPr>
        <w:t>nclusive education, intercultural understanding, multiperspectivity, media literacy</w:t>
      </w:r>
      <w:r w:rsidR="00942C8A">
        <w:rPr>
          <w:rFonts w:ascii="Arial" w:hAnsi="Arial" w:cs="Arial"/>
          <w:spacing w:val="4"/>
          <w:sz w:val="20"/>
          <w:szCs w:val="20"/>
        </w:rPr>
        <w:t xml:space="preserve"> and critical thinking</w:t>
      </w:r>
      <w:r w:rsidRPr="009167F9">
        <w:rPr>
          <w:rFonts w:ascii="Arial" w:hAnsi="Arial" w:cs="Arial"/>
          <w:spacing w:val="4"/>
          <w:sz w:val="20"/>
          <w:szCs w:val="20"/>
        </w:rPr>
        <w:t xml:space="preserve">, multilingualism, student-centred learning, </w:t>
      </w:r>
      <w:r w:rsidRPr="009167F9">
        <w:rPr>
          <w:rFonts w:ascii="Arial" w:hAnsi="Arial" w:cs="Arial"/>
          <w:sz w:val="20"/>
          <w:szCs w:val="20"/>
        </w:rPr>
        <w:t>and whole school approaches</w:t>
      </w:r>
      <w:r>
        <w:rPr>
          <w:rFonts w:ascii="Arial" w:hAnsi="Arial" w:cs="Arial"/>
          <w:sz w:val="20"/>
          <w:szCs w:val="20"/>
        </w:rPr>
        <w:t xml:space="preserve">, which are highly </w:t>
      </w:r>
      <w:r>
        <w:rPr>
          <w:rFonts w:ascii="Arial" w:hAnsi="Arial" w:cs="Arial"/>
          <w:spacing w:val="4"/>
          <w:sz w:val="20"/>
          <w:szCs w:val="20"/>
        </w:rPr>
        <w:t xml:space="preserve">relevant for </w:t>
      </w:r>
      <w:r w:rsidRPr="009167F9">
        <w:rPr>
          <w:rFonts w:ascii="Arial" w:hAnsi="Arial" w:cs="Arial"/>
          <w:spacing w:val="4"/>
          <w:sz w:val="20"/>
          <w:szCs w:val="20"/>
        </w:rPr>
        <w:t>address</w:t>
      </w:r>
      <w:r>
        <w:rPr>
          <w:rFonts w:ascii="Arial" w:hAnsi="Arial" w:cs="Arial"/>
          <w:spacing w:val="4"/>
          <w:sz w:val="20"/>
          <w:szCs w:val="20"/>
        </w:rPr>
        <w:t>ing</w:t>
      </w:r>
      <w:r w:rsidRPr="009167F9">
        <w:rPr>
          <w:rFonts w:ascii="Arial" w:hAnsi="Arial" w:cs="Arial"/>
          <w:spacing w:val="4"/>
          <w:sz w:val="20"/>
          <w:szCs w:val="20"/>
        </w:rPr>
        <w:t xml:space="preserve"> inequality, marginalisation, segregation, discrimination and lack of belonging. </w:t>
      </w:r>
      <w:r w:rsidR="000B25EA">
        <w:rPr>
          <w:rFonts w:ascii="Arial" w:hAnsi="Arial" w:cs="Arial"/>
          <w:spacing w:val="4"/>
          <w:sz w:val="20"/>
          <w:szCs w:val="20"/>
        </w:rPr>
        <w:t xml:space="preserve">Raising awareness </w:t>
      </w:r>
      <w:r w:rsidR="006B1E63">
        <w:rPr>
          <w:rFonts w:ascii="Arial" w:hAnsi="Arial" w:cs="Arial"/>
          <w:spacing w:val="4"/>
          <w:sz w:val="20"/>
          <w:szCs w:val="20"/>
        </w:rPr>
        <w:t xml:space="preserve">of these concepts is also important to create an active participation among teachers and learners.  </w:t>
      </w:r>
      <w:r w:rsidR="000B25EA">
        <w:rPr>
          <w:rFonts w:ascii="Arial" w:hAnsi="Arial" w:cs="Arial"/>
          <w:spacing w:val="4"/>
          <w:sz w:val="20"/>
          <w:szCs w:val="20"/>
        </w:rPr>
        <w:t xml:space="preserve"> </w:t>
      </w:r>
    </w:p>
    <w:p w:rsidR="0077627C" w:rsidRPr="009167F9" w:rsidRDefault="0077627C" w:rsidP="0077627C">
      <w:pPr>
        <w:rPr>
          <w:rFonts w:ascii="Arial" w:hAnsi="Arial" w:cs="Arial"/>
          <w:sz w:val="20"/>
          <w:szCs w:val="20"/>
        </w:rPr>
      </w:pPr>
      <w:r w:rsidRPr="009167F9">
        <w:rPr>
          <w:rFonts w:ascii="Arial" w:hAnsi="Arial" w:cs="Arial"/>
          <w:sz w:val="20"/>
          <w:szCs w:val="20"/>
        </w:rPr>
        <w:t>The definitions of some of these concepts, and other terms used</w:t>
      </w:r>
      <w:r>
        <w:rPr>
          <w:rFonts w:ascii="Arial" w:hAnsi="Arial" w:cs="Arial"/>
          <w:sz w:val="20"/>
          <w:szCs w:val="20"/>
        </w:rPr>
        <w:t>,</w:t>
      </w:r>
      <w:r w:rsidRPr="009167F9">
        <w:rPr>
          <w:rFonts w:ascii="Arial" w:hAnsi="Arial" w:cs="Arial"/>
          <w:sz w:val="20"/>
          <w:szCs w:val="20"/>
        </w:rPr>
        <w:t xml:space="preserve"> can be found in the glossary </w:t>
      </w:r>
      <w:r>
        <w:rPr>
          <w:rFonts w:ascii="Arial" w:hAnsi="Arial" w:cs="Arial"/>
          <w:sz w:val="20"/>
          <w:szCs w:val="20"/>
        </w:rPr>
        <w:t xml:space="preserve">in </w:t>
      </w:r>
      <w:r w:rsidRPr="009167F9">
        <w:rPr>
          <w:rFonts w:ascii="Arial" w:hAnsi="Arial" w:cs="Arial"/>
          <w:sz w:val="20"/>
          <w:szCs w:val="20"/>
        </w:rPr>
        <w:t>the annex.</w:t>
      </w:r>
      <w:r w:rsidR="00942C8A">
        <w:rPr>
          <w:rFonts w:ascii="Arial" w:hAnsi="Arial" w:cs="Arial"/>
          <w:sz w:val="20"/>
          <w:szCs w:val="20"/>
        </w:rPr>
        <w:t xml:space="preserve"> </w:t>
      </w:r>
    </w:p>
    <w:p w:rsidR="0077627C" w:rsidRPr="009167F9" w:rsidRDefault="0077627C" w:rsidP="0077627C">
      <w:pPr>
        <w:rPr>
          <w:rFonts w:ascii="Arial" w:hAnsi="Arial" w:cs="Arial"/>
          <w:sz w:val="20"/>
          <w:szCs w:val="20"/>
        </w:rPr>
      </w:pPr>
      <w:r w:rsidRPr="009167F9">
        <w:rPr>
          <w:rFonts w:ascii="Arial" w:hAnsi="Arial" w:cs="Arial"/>
          <w:sz w:val="20"/>
          <w:szCs w:val="20"/>
        </w:rPr>
        <w:t xml:space="preserve">The </w:t>
      </w:r>
      <w:r>
        <w:rPr>
          <w:rFonts w:ascii="Arial" w:hAnsi="Arial" w:cs="Arial"/>
          <w:sz w:val="20"/>
          <w:szCs w:val="20"/>
        </w:rPr>
        <w:t xml:space="preserve">elements for a </w:t>
      </w:r>
      <w:r w:rsidRPr="009167F9">
        <w:rPr>
          <w:rFonts w:ascii="Arial" w:hAnsi="Arial" w:cs="Arial"/>
          <w:sz w:val="20"/>
          <w:szCs w:val="20"/>
        </w:rPr>
        <w:t xml:space="preserve">policy framework </w:t>
      </w:r>
      <w:r>
        <w:rPr>
          <w:rFonts w:ascii="Arial" w:hAnsi="Arial" w:cs="Arial"/>
          <w:sz w:val="20"/>
          <w:szCs w:val="20"/>
        </w:rPr>
        <w:t xml:space="preserve">are </w:t>
      </w:r>
      <w:r w:rsidRPr="009167F9">
        <w:rPr>
          <w:rFonts w:ascii="Arial" w:hAnsi="Arial" w:cs="Arial"/>
          <w:sz w:val="20"/>
          <w:szCs w:val="20"/>
        </w:rPr>
        <w:t>di</w:t>
      </w:r>
      <w:r>
        <w:rPr>
          <w:rFonts w:ascii="Arial" w:hAnsi="Arial" w:cs="Arial"/>
          <w:sz w:val="20"/>
          <w:szCs w:val="20"/>
        </w:rPr>
        <w:t xml:space="preserve">stributed among </w:t>
      </w:r>
      <w:r w:rsidRPr="009167F9">
        <w:rPr>
          <w:rFonts w:ascii="Arial" w:hAnsi="Arial" w:cs="Arial"/>
          <w:sz w:val="20"/>
          <w:szCs w:val="20"/>
        </w:rPr>
        <w:t>six main policy fields:</w:t>
      </w:r>
    </w:p>
    <w:p w:rsidR="0077627C" w:rsidRPr="009167F9" w:rsidRDefault="0077627C" w:rsidP="0077627C">
      <w:pPr>
        <w:pStyle w:val="ListParagraph"/>
        <w:numPr>
          <w:ilvl w:val="0"/>
          <w:numId w:val="13"/>
        </w:numPr>
        <w:spacing w:after="200" w:line="276" w:lineRule="auto"/>
        <w:contextualSpacing/>
        <w:rPr>
          <w:rFonts w:ascii="Arial" w:hAnsi="Arial" w:cs="Arial"/>
          <w:spacing w:val="4"/>
          <w:sz w:val="20"/>
          <w:szCs w:val="20"/>
        </w:rPr>
      </w:pPr>
      <w:r w:rsidRPr="009167F9">
        <w:rPr>
          <w:rFonts w:ascii="Arial" w:hAnsi="Arial" w:cs="Arial"/>
          <w:spacing w:val="4"/>
          <w:sz w:val="20"/>
          <w:szCs w:val="20"/>
        </w:rPr>
        <w:t>Learning content and pedagogical approaches;</w:t>
      </w:r>
    </w:p>
    <w:p w:rsidR="0077627C" w:rsidRPr="009167F9" w:rsidRDefault="0077627C" w:rsidP="0077627C">
      <w:pPr>
        <w:pStyle w:val="ListParagraph"/>
        <w:numPr>
          <w:ilvl w:val="0"/>
          <w:numId w:val="13"/>
        </w:numPr>
        <w:spacing w:after="200" w:line="276" w:lineRule="auto"/>
        <w:contextualSpacing/>
        <w:rPr>
          <w:rFonts w:ascii="Arial" w:hAnsi="Arial" w:cs="Arial"/>
          <w:spacing w:val="4"/>
          <w:sz w:val="20"/>
          <w:szCs w:val="20"/>
        </w:rPr>
      </w:pPr>
      <w:r w:rsidRPr="009167F9">
        <w:rPr>
          <w:rFonts w:ascii="Arial" w:hAnsi="Arial" w:cs="Arial"/>
          <w:spacing w:val="4"/>
          <w:sz w:val="20"/>
          <w:szCs w:val="20"/>
        </w:rPr>
        <w:t>Empowering teaching professionals;</w:t>
      </w:r>
    </w:p>
    <w:p w:rsidR="0077627C" w:rsidRPr="009167F9" w:rsidRDefault="0077627C" w:rsidP="0077627C">
      <w:pPr>
        <w:pStyle w:val="ListParagraph"/>
        <w:numPr>
          <w:ilvl w:val="0"/>
          <w:numId w:val="13"/>
        </w:numPr>
        <w:spacing w:after="200" w:line="276" w:lineRule="auto"/>
        <w:contextualSpacing/>
        <w:rPr>
          <w:rFonts w:ascii="Arial" w:hAnsi="Arial" w:cs="Arial"/>
          <w:spacing w:val="4"/>
          <w:sz w:val="20"/>
          <w:szCs w:val="20"/>
        </w:rPr>
      </w:pPr>
      <w:r w:rsidRPr="009167F9">
        <w:rPr>
          <w:rFonts w:ascii="Arial" w:hAnsi="Arial" w:cs="Arial"/>
          <w:spacing w:val="4"/>
          <w:sz w:val="20"/>
          <w:szCs w:val="20"/>
        </w:rPr>
        <w:t>Fostering an inclusive and democratic learning environment;</w:t>
      </w:r>
    </w:p>
    <w:p w:rsidR="0077627C" w:rsidRPr="009167F9" w:rsidRDefault="0077627C" w:rsidP="0077627C">
      <w:pPr>
        <w:pStyle w:val="ListParagraph"/>
        <w:numPr>
          <w:ilvl w:val="0"/>
          <w:numId w:val="13"/>
        </w:numPr>
        <w:spacing w:after="200" w:line="276" w:lineRule="auto"/>
        <w:contextualSpacing/>
        <w:rPr>
          <w:rFonts w:ascii="Arial" w:hAnsi="Arial" w:cs="Arial"/>
          <w:spacing w:val="4"/>
          <w:sz w:val="20"/>
          <w:szCs w:val="20"/>
        </w:rPr>
      </w:pPr>
      <w:r w:rsidRPr="009167F9">
        <w:rPr>
          <w:rFonts w:ascii="Arial" w:hAnsi="Arial" w:cs="Arial"/>
          <w:spacing w:val="4"/>
          <w:sz w:val="20"/>
          <w:szCs w:val="20"/>
        </w:rPr>
        <w:t>Enhancing cooperation with communities and wider partners;</w:t>
      </w:r>
    </w:p>
    <w:p w:rsidR="0077627C" w:rsidRPr="009167F9" w:rsidRDefault="0077627C" w:rsidP="0077627C">
      <w:pPr>
        <w:pStyle w:val="ListParagraph"/>
        <w:numPr>
          <w:ilvl w:val="0"/>
          <w:numId w:val="13"/>
        </w:numPr>
        <w:spacing w:after="200" w:line="276" w:lineRule="auto"/>
        <w:contextualSpacing/>
        <w:rPr>
          <w:rFonts w:ascii="Arial" w:hAnsi="Arial" w:cs="Arial"/>
          <w:spacing w:val="4"/>
          <w:sz w:val="20"/>
          <w:szCs w:val="20"/>
        </w:rPr>
      </w:pPr>
      <w:r w:rsidRPr="009167F9">
        <w:rPr>
          <w:rFonts w:ascii="Arial" w:hAnsi="Arial" w:cs="Arial"/>
          <w:spacing w:val="4"/>
          <w:sz w:val="20"/>
          <w:szCs w:val="20"/>
        </w:rPr>
        <w:t>Promoting a lifelong learning approach;</w:t>
      </w:r>
    </w:p>
    <w:p w:rsidR="0077627C" w:rsidRPr="009167F9" w:rsidRDefault="0077627C" w:rsidP="0077627C">
      <w:pPr>
        <w:pStyle w:val="ListParagraph"/>
        <w:numPr>
          <w:ilvl w:val="0"/>
          <w:numId w:val="13"/>
        </w:numPr>
        <w:spacing w:after="200" w:line="276" w:lineRule="auto"/>
        <w:contextualSpacing/>
        <w:rPr>
          <w:rFonts w:ascii="Arial" w:hAnsi="Arial" w:cs="Arial"/>
          <w:spacing w:val="4"/>
          <w:sz w:val="20"/>
          <w:szCs w:val="20"/>
        </w:rPr>
      </w:pPr>
      <w:r w:rsidRPr="009167F9">
        <w:rPr>
          <w:rFonts w:ascii="Arial" w:hAnsi="Arial" w:cs="Arial"/>
          <w:spacing w:val="4"/>
          <w:sz w:val="20"/>
          <w:szCs w:val="20"/>
        </w:rPr>
        <w:t>Improving educational governance.</w:t>
      </w:r>
    </w:p>
    <w:p w:rsidR="0077627C" w:rsidRPr="009167F9" w:rsidRDefault="0077627C" w:rsidP="0077627C">
      <w:pPr>
        <w:rPr>
          <w:rFonts w:ascii="Arial" w:hAnsi="Arial" w:cs="Arial"/>
          <w:spacing w:val="4"/>
          <w:sz w:val="20"/>
          <w:szCs w:val="20"/>
        </w:rPr>
      </w:pPr>
      <w:r>
        <w:rPr>
          <w:rFonts w:ascii="Arial" w:hAnsi="Arial" w:cs="Arial"/>
          <w:spacing w:val="4"/>
          <w:sz w:val="20"/>
          <w:szCs w:val="20"/>
        </w:rPr>
        <w:t>T</w:t>
      </w:r>
      <w:r w:rsidRPr="009167F9">
        <w:rPr>
          <w:rFonts w:ascii="Arial" w:hAnsi="Arial" w:cs="Arial"/>
          <w:spacing w:val="4"/>
          <w:sz w:val="20"/>
          <w:szCs w:val="20"/>
        </w:rPr>
        <w:t>he key policy messages</w:t>
      </w:r>
      <w:r>
        <w:rPr>
          <w:rFonts w:ascii="Arial" w:hAnsi="Arial" w:cs="Arial"/>
          <w:spacing w:val="4"/>
          <w:sz w:val="20"/>
          <w:szCs w:val="20"/>
        </w:rPr>
        <w:t xml:space="preserve"> are set out below</w:t>
      </w:r>
      <w:r w:rsidRPr="009167F9">
        <w:rPr>
          <w:rFonts w:ascii="Arial" w:hAnsi="Arial" w:cs="Arial"/>
          <w:spacing w:val="4"/>
          <w:sz w:val="20"/>
          <w:szCs w:val="20"/>
        </w:rPr>
        <w:t>, together with their principal target group(s), for each of these six policy fields.</w:t>
      </w:r>
    </w:p>
    <w:p w:rsidR="0077627C" w:rsidRPr="009167F9" w:rsidRDefault="0077627C" w:rsidP="0077627C">
      <w:pPr>
        <w:rPr>
          <w:rFonts w:ascii="Arial" w:hAnsi="Arial" w:cs="Arial"/>
          <w:spacing w:val="4"/>
          <w:sz w:val="20"/>
          <w:szCs w:val="20"/>
        </w:rPr>
      </w:pPr>
    </w:p>
    <w:p w:rsidR="0077627C" w:rsidRPr="009167F9" w:rsidRDefault="0077627C" w:rsidP="0077627C">
      <w:pPr>
        <w:pStyle w:val="ListParagraph"/>
        <w:keepNext/>
        <w:widowControl w:val="0"/>
        <w:numPr>
          <w:ilvl w:val="0"/>
          <w:numId w:val="15"/>
        </w:numPr>
        <w:pBdr>
          <w:top w:val="nil"/>
          <w:left w:val="nil"/>
          <w:bottom w:val="nil"/>
          <w:right w:val="nil"/>
          <w:between w:val="nil"/>
          <w:bar w:val="nil"/>
        </w:pBdr>
        <w:spacing w:after="240" w:line="276" w:lineRule="auto"/>
        <w:contextualSpacing/>
        <w:rPr>
          <w:rFonts w:ascii="Arial" w:hAnsi="Arial" w:cs="Arial"/>
          <w:b/>
          <w:color w:val="0070C0"/>
          <w:sz w:val="20"/>
          <w:szCs w:val="20"/>
        </w:rPr>
      </w:pPr>
      <w:r w:rsidRPr="009167F9">
        <w:rPr>
          <w:rFonts w:ascii="Arial" w:hAnsi="Arial" w:cs="Arial"/>
          <w:b/>
          <w:color w:val="0070C0"/>
          <w:sz w:val="20"/>
          <w:szCs w:val="20"/>
        </w:rPr>
        <w:t>Learning content</w:t>
      </w:r>
      <w:r w:rsidRPr="009167F9">
        <w:rPr>
          <w:rFonts w:ascii="Arial" w:hAnsi="Arial" w:cs="Arial"/>
          <w:color w:val="0070C0"/>
          <w:sz w:val="20"/>
          <w:szCs w:val="20"/>
        </w:rPr>
        <w:t xml:space="preserve"> </w:t>
      </w:r>
      <w:r w:rsidRPr="009167F9">
        <w:rPr>
          <w:rFonts w:ascii="Arial" w:hAnsi="Arial" w:cs="Arial"/>
          <w:b/>
          <w:color w:val="0070C0"/>
          <w:sz w:val="20"/>
          <w:szCs w:val="20"/>
        </w:rPr>
        <w:t>and pedagogical approaches</w:t>
      </w:r>
    </w:p>
    <w:p w:rsidR="0077627C" w:rsidRPr="009167F9" w:rsidRDefault="0077627C" w:rsidP="0077627C">
      <w:pPr>
        <w:tabs>
          <w:tab w:val="num" w:pos="720"/>
        </w:tabs>
        <w:rPr>
          <w:rFonts w:ascii="Arial" w:hAnsi="Arial" w:cs="Arial"/>
          <w:spacing w:val="4"/>
          <w:sz w:val="20"/>
          <w:szCs w:val="20"/>
        </w:rPr>
      </w:pPr>
      <w:r>
        <w:rPr>
          <w:rFonts w:ascii="Arial" w:hAnsi="Arial" w:cs="Arial"/>
          <w:spacing w:val="4"/>
          <w:sz w:val="20"/>
          <w:szCs w:val="20"/>
        </w:rPr>
        <w:t xml:space="preserve">Learning content and pedagogical approaches should take into account the need to foster </w:t>
      </w:r>
      <w:r w:rsidRPr="009167F9">
        <w:rPr>
          <w:rFonts w:ascii="Arial" w:hAnsi="Arial" w:cs="Arial"/>
          <w:spacing w:val="4"/>
          <w:sz w:val="20"/>
          <w:szCs w:val="20"/>
        </w:rPr>
        <w:t xml:space="preserve">equity and inclusiveness </w:t>
      </w:r>
      <w:r>
        <w:rPr>
          <w:rFonts w:ascii="Arial" w:hAnsi="Arial" w:cs="Arial"/>
          <w:spacing w:val="4"/>
          <w:sz w:val="20"/>
          <w:szCs w:val="20"/>
        </w:rPr>
        <w:t>of</w:t>
      </w:r>
      <w:r w:rsidRPr="009167F9">
        <w:rPr>
          <w:rFonts w:ascii="Arial" w:hAnsi="Arial" w:cs="Arial"/>
          <w:spacing w:val="4"/>
          <w:sz w:val="20"/>
          <w:szCs w:val="20"/>
        </w:rPr>
        <w:t xml:space="preserve"> education and training systems</w:t>
      </w:r>
      <w:r>
        <w:rPr>
          <w:rFonts w:ascii="Arial" w:hAnsi="Arial" w:cs="Arial"/>
          <w:spacing w:val="4"/>
          <w:sz w:val="20"/>
          <w:szCs w:val="20"/>
        </w:rPr>
        <w:t xml:space="preserve">. This </w:t>
      </w:r>
      <w:r w:rsidRPr="009167F9">
        <w:rPr>
          <w:rFonts w:ascii="Arial" w:hAnsi="Arial" w:cs="Arial"/>
          <w:spacing w:val="4"/>
          <w:sz w:val="20"/>
          <w:szCs w:val="20"/>
        </w:rPr>
        <w:t xml:space="preserve">requires a concrete focus on setting appropriate objectives for learning, developing differentiated and inclusive learning </w:t>
      </w:r>
      <w:r w:rsidRPr="009167F9">
        <w:rPr>
          <w:rFonts w:ascii="Arial" w:hAnsi="Arial" w:cs="Arial"/>
          <w:spacing w:val="4"/>
          <w:sz w:val="20"/>
          <w:szCs w:val="20"/>
        </w:rPr>
        <w:lastRenderedPageBreak/>
        <w:t>materials and adopting a wider range of pedagogical approaches. Learning content should address challenges at individual, community and global levels, be culturally sensitive and reflect multiperspectivity. Greater emphasis needs to be placed on skills and attitudes that move beyond knowledge</w:t>
      </w:r>
      <w:r>
        <w:rPr>
          <w:rStyle w:val="FootnoteReference"/>
          <w:rFonts w:ascii="Arial" w:hAnsi="Arial" w:cs="Arial"/>
          <w:spacing w:val="4"/>
          <w:sz w:val="20"/>
          <w:szCs w:val="20"/>
        </w:rPr>
        <w:footnoteReference w:id="11"/>
      </w:r>
      <w:r w:rsidRPr="009167F9">
        <w:rPr>
          <w:rFonts w:ascii="Arial" w:hAnsi="Arial" w:cs="Arial"/>
          <w:spacing w:val="4"/>
          <w:sz w:val="20"/>
          <w:szCs w:val="20"/>
        </w:rPr>
        <w:t xml:space="preserve">. The experiential dimension of learning should be promoted through student-centred and participatory approaches from the earliest age. </w:t>
      </w:r>
      <w:r w:rsidR="00616CDA">
        <w:rPr>
          <w:rFonts w:ascii="Arial" w:hAnsi="Arial" w:cs="Arial"/>
          <w:spacing w:val="4"/>
          <w:sz w:val="20"/>
          <w:szCs w:val="20"/>
        </w:rPr>
        <w:t>Furthermore, the</w:t>
      </w:r>
      <w:r w:rsidRPr="009167F9">
        <w:rPr>
          <w:rFonts w:ascii="Arial" w:hAnsi="Arial" w:cs="Arial"/>
          <w:spacing w:val="4"/>
          <w:sz w:val="20"/>
          <w:szCs w:val="20"/>
        </w:rPr>
        <w:t xml:space="preserve"> implementation of inclusive education cannot happen without changes to the curriculum, which should support more awareness and understanding about issues that relate to inclusion and place a greater emphasis on personal, social and civic competences. Policymakers and school management need</w:t>
      </w:r>
      <w:r w:rsidR="00616CDA">
        <w:rPr>
          <w:rFonts w:ascii="Arial" w:hAnsi="Arial" w:cs="Arial"/>
          <w:spacing w:val="4"/>
          <w:sz w:val="20"/>
          <w:szCs w:val="20"/>
        </w:rPr>
        <w:t>,</w:t>
      </w:r>
      <w:r w:rsidRPr="009167F9">
        <w:rPr>
          <w:rFonts w:ascii="Arial" w:hAnsi="Arial" w:cs="Arial"/>
          <w:spacing w:val="4"/>
          <w:sz w:val="20"/>
          <w:szCs w:val="20"/>
        </w:rPr>
        <w:t xml:space="preserve"> therefore to support appropriate curriculum development and introduce innovative teaching approaches relevant to all learners</w:t>
      </w:r>
      <w:r w:rsidR="00C161AD">
        <w:rPr>
          <w:rFonts w:ascii="Arial" w:hAnsi="Arial" w:cs="Arial"/>
          <w:spacing w:val="4"/>
          <w:sz w:val="20"/>
          <w:szCs w:val="20"/>
        </w:rPr>
        <w:t>, in order to respond effectively to their individualised needs</w:t>
      </w:r>
      <w:r w:rsidRPr="009167F9">
        <w:rPr>
          <w:rFonts w:ascii="Arial" w:hAnsi="Arial" w:cs="Arial"/>
          <w:spacing w:val="4"/>
          <w:sz w:val="20"/>
          <w:szCs w:val="20"/>
        </w:rPr>
        <w:t>.</w:t>
      </w:r>
    </w:p>
    <w:tbl>
      <w:tblPr>
        <w:tblStyle w:val="TableGrid"/>
        <w:tblW w:w="0" w:type="auto"/>
        <w:tblLook w:val="04A0" w:firstRow="1" w:lastRow="0" w:firstColumn="1" w:lastColumn="0" w:noHBand="0" w:noVBand="1"/>
      </w:tblPr>
      <w:tblGrid>
        <w:gridCol w:w="902"/>
        <w:gridCol w:w="5892"/>
        <w:gridCol w:w="2210"/>
      </w:tblGrid>
      <w:tr w:rsidR="0077627C" w:rsidRPr="009167F9" w:rsidTr="00835443">
        <w:trPr>
          <w:cnfStyle w:val="100000000000" w:firstRow="1" w:lastRow="0" w:firstColumn="0" w:lastColumn="0" w:oddVBand="0" w:evenVBand="0" w:oddHBand="0" w:evenHBand="0" w:firstRowFirstColumn="0" w:firstRowLastColumn="0" w:lastRowFirstColumn="0" w:lastRowLastColumn="0"/>
        </w:trPr>
        <w:tc>
          <w:tcPr>
            <w:tcW w:w="907" w:type="dxa"/>
            <w:shd w:val="clear" w:color="auto" w:fill="548DD4" w:themeFill="text2" w:themeFillTint="99"/>
          </w:tcPr>
          <w:p w:rsidR="0077627C" w:rsidRPr="0077627C" w:rsidRDefault="0077627C" w:rsidP="00835443">
            <w:pPr>
              <w:contextualSpacing/>
              <w:jc w:val="center"/>
              <w:rPr>
                <w:rFonts w:ascii="Arial" w:hAnsi="Arial" w:cs="Arial"/>
                <w:b/>
                <w:color w:val="FFFFFF" w:themeColor="background1"/>
                <w:sz w:val="20"/>
                <w:szCs w:val="20"/>
                <w:lang w:val="en-GB"/>
              </w:rPr>
            </w:pPr>
          </w:p>
        </w:tc>
        <w:tc>
          <w:tcPr>
            <w:tcW w:w="5936" w:type="dxa"/>
            <w:shd w:val="clear" w:color="auto" w:fill="548DD4" w:themeFill="text2" w:themeFillTint="99"/>
          </w:tcPr>
          <w:p w:rsidR="0077627C" w:rsidRPr="009167F9" w:rsidRDefault="0077627C" w:rsidP="00835443">
            <w:pPr>
              <w:contextualSpacing/>
              <w:jc w:val="center"/>
              <w:rPr>
                <w:rFonts w:ascii="Arial" w:hAnsi="Arial" w:cs="Arial"/>
                <w:b/>
                <w:color w:val="FFFFFF" w:themeColor="background1"/>
                <w:sz w:val="20"/>
                <w:szCs w:val="20"/>
              </w:rPr>
            </w:pPr>
            <w:r w:rsidRPr="009167F9">
              <w:rPr>
                <w:rFonts w:ascii="Arial" w:hAnsi="Arial" w:cs="Arial"/>
                <w:b/>
                <w:color w:val="FFFFFF" w:themeColor="background1"/>
                <w:sz w:val="20"/>
                <w:szCs w:val="20"/>
              </w:rPr>
              <w:t>Key message</w:t>
            </w:r>
          </w:p>
        </w:tc>
        <w:tc>
          <w:tcPr>
            <w:tcW w:w="2219" w:type="dxa"/>
            <w:shd w:val="clear" w:color="auto" w:fill="548DD4" w:themeFill="text2" w:themeFillTint="99"/>
          </w:tcPr>
          <w:p w:rsidR="0077627C" w:rsidRPr="009167F9" w:rsidRDefault="0077627C" w:rsidP="00835443">
            <w:pPr>
              <w:contextualSpacing/>
              <w:jc w:val="center"/>
              <w:rPr>
                <w:rFonts w:ascii="Arial" w:hAnsi="Arial" w:cs="Arial"/>
                <w:b/>
                <w:color w:val="FFFFFF" w:themeColor="background1"/>
                <w:sz w:val="20"/>
                <w:szCs w:val="20"/>
              </w:rPr>
            </w:pPr>
            <w:r w:rsidRPr="009167F9">
              <w:rPr>
                <w:rFonts w:ascii="Arial" w:hAnsi="Arial" w:cs="Arial"/>
                <w:b/>
                <w:color w:val="FFFFFF" w:themeColor="background1"/>
                <w:sz w:val="20"/>
                <w:szCs w:val="20"/>
              </w:rPr>
              <w:t>Target groups</w:t>
            </w:r>
          </w:p>
        </w:tc>
      </w:tr>
      <w:tr w:rsidR="0077627C" w:rsidRPr="009167F9" w:rsidTr="00835443">
        <w:tc>
          <w:tcPr>
            <w:tcW w:w="907" w:type="dxa"/>
            <w:vAlign w:val="center"/>
          </w:tcPr>
          <w:p w:rsidR="0077627C" w:rsidRPr="009167F9" w:rsidRDefault="0077627C" w:rsidP="00835443">
            <w:pPr>
              <w:jc w:val="center"/>
              <w:rPr>
                <w:rFonts w:ascii="Arial" w:hAnsi="Arial" w:cs="Arial"/>
                <w:spacing w:val="4"/>
                <w:sz w:val="20"/>
                <w:szCs w:val="20"/>
              </w:rPr>
            </w:pPr>
            <w:r w:rsidRPr="009167F9">
              <w:rPr>
                <w:rFonts w:ascii="Arial" w:hAnsi="Arial" w:cs="Arial"/>
                <w:spacing w:val="4"/>
                <w:sz w:val="20"/>
                <w:szCs w:val="20"/>
              </w:rPr>
              <w:t>(a)</w:t>
            </w:r>
          </w:p>
        </w:tc>
        <w:tc>
          <w:tcPr>
            <w:tcW w:w="5936"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In order to help learners become responsible and active citizens, learning objectives and content should include an emphasis on the acquisition of social, civic and intercultural competences</w:t>
            </w:r>
            <w:r w:rsidRPr="009167F9">
              <w:rPr>
                <w:rStyle w:val="FootnoteReference"/>
                <w:rFonts w:ascii="Arial" w:hAnsi="Arial" w:cs="Arial"/>
                <w:spacing w:val="4"/>
                <w:sz w:val="20"/>
                <w:szCs w:val="20"/>
              </w:rPr>
              <w:footnoteReference w:id="12"/>
            </w:r>
            <w:r w:rsidRPr="0077627C">
              <w:rPr>
                <w:rFonts w:ascii="Arial" w:hAnsi="Arial" w:cs="Arial"/>
                <w:spacing w:val="4"/>
                <w:sz w:val="20"/>
                <w:szCs w:val="20"/>
                <w:lang w:val="en-GB"/>
              </w:rPr>
              <w:t xml:space="preserve">, as well as developing understanding and ownership of the common European values. </w:t>
            </w:r>
          </w:p>
        </w:tc>
        <w:tc>
          <w:tcPr>
            <w:tcW w:w="221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School management</w:t>
            </w:r>
          </w:p>
        </w:tc>
      </w:tr>
      <w:tr w:rsidR="0077627C" w:rsidRPr="009167F9" w:rsidTr="00835443">
        <w:tc>
          <w:tcPr>
            <w:tcW w:w="907"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(b)</w:t>
            </w:r>
          </w:p>
        </w:tc>
        <w:tc>
          <w:tcPr>
            <w:tcW w:w="5936"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In formal education, the acquisition of shared values and social and civic competences is best enhanced by a</w:t>
            </w:r>
            <w:r w:rsidR="00E457BC">
              <w:rPr>
                <w:rFonts w:ascii="Arial" w:hAnsi="Arial" w:cs="Arial"/>
                <w:spacing w:val="4"/>
                <w:sz w:val="20"/>
                <w:szCs w:val="20"/>
                <w:lang w:val="en-GB"/>
              </w:rPr>
              <w:t>n interdisciplinary approach in a</w:t>
            </w:r>
            <w:r w:rsidRPr="0077627C">
              <w:rPr>
                <w:rFonts w:ascii="Arial" w:hAnsi="Arial" w:cs="Arial"/>
                <w:spacing w:val="4"/>
                <w:sz w:val="20"/>
                <w:szCs w:val="20"/>
                <w:lang w:val="en-GB"/>
              </w:rPr>
              <w:t xml:space="preserve"> mix of dedicated subjects, combined with their integration into other subjects and embedding them into a democratic school culture</w:t>
            </w:r>
            <w:r w:rsidR="00C161AD">
              <w:rPr>
                <w:rFonts w:ascii="Arial" w:hAnsi="Arial" w:cs="Arial"/>
                <w:spacing w:val="4"/>
                <w:sz w:val="20"/>
                <w:szCs w:val="20"/>
                <w:lang w:val="en-GB"/>
              </w:rPr>
              <w:t xml:space="preserve"> and ethos</w:t>
            </w:r>
            <w:r w:rsidRPr="0077627C">
              <w:rPr>
                <w:rFonts w:ascii="Arial" w:hAnsi="Arial" w:cs="Arial"/>
                <w:spacing w:val="4"/>
                <w:sz w:val="20"/>
                <w:szCs w:val="20"/>
                <w:lang w:val="en-GB"/>
              </w:rPr>
              <w:t xml:space="preserve">. </w:t>
            </w:r>
          </w:p>
        </w:tc>
        <w:tc>
          <w:tcPr>
            <w:tcW w:w="221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School management</w:t>
            </w:r>
          </w:p>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Teachers</w:t>
            </w:r>
          </w:p>
        </w:tc>
      </w:tr>
      <w:tr w:rsidR="0077627C" w:rsidRPr="009167F9" w:rsidTr="00835443">
        <w:tc>
          <w:tcPr>
            <w:tcW w:w="907"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(c)</w:t>
            </w:r>
          </w:p>
        </w:tc>
        <w:tc>
          <w:tcPr>
            <w:tcW w:w="5936"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All learners should have the opportunity to learn about cultures, religions and beliefs other than their own. Content should focus not only on differences, but also on commonalities and open dialogue to foster mutual understanding.</w:t>
            </w:r>
          </w:p>
        </w:tc>
        <w:tc>
          <w:tcPr>
            <w:tcW w:w="221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School management</w:t>
            </w:r>
          </w:p>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Teachers</w:t>
            </w:r>
          </w:p>
        </w:tc>
      </w:tr>
      <w:tr w:rsidR="0077627C" w:rsidRPr="009167F9" w:rsidTr="00835443">
        <w:tc>
          <w:tcPr>
            <w:tcW w:w="907"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(d)</w:t>
            </w:r>
          </w:p>
        </w:tc>
        <w:tc>
          <w:tcPr>
            <w:tcW w:w="5936"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It is important to help young people to develop a critical understanding of messages conveyed through the media, in particular to develop the ability to identify bias and to build resilience against extremist propaganda.</w:t>
            </w:r>
          </w:p>
        </w:tc>
        <w:tc>
          <w:tcPr>
            <w:tcW w:w="2219" w:type="dxa"/>
            <w:vAlign w:val="center"/>
          </w:tcPr>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Policymakers</w:t>
            </w:r>
          </w:p>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Teachers</w:t>
            </w:r>
          </w:p>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Non-formal sector</w:t>
            </w:r>
          </w:p>
        </w:tc>
      </w:tr>
      <w:tr w:rsidR="0077627C" w:rsidRPr="009167F9" w:rsidTr="00835443">
        <w:tc>
          <w:tcPr>
            <w:tcW w:w="907"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(e)</w:t>
            </w:r>
          </w:p>
        </w:tc>
        <w:tc>
          <w:tcPr>
            <w:tcW w:w="5936" w:type="dxa"/>
          </w:tcPr>
          <w:p w:rsidR="0077627C" w:rsidRPr="0077627C" w:rsidRDefault="0077627C" w:rsidP="00E457BC">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 xml:space="preserve">Inclusive education requires a curriculum that reflects the diversity of learners and is free of bias. Special attention needs to be devoted to ensuring a balanced and broader teaching of history, </w:t>
            </w:r>
            <w:r w:rsidR="00E457BC">
              <w:rPr>
                <w:rFonts w:ascii="Arial" w:hAnsi="Arial" w:cs="Arial"/>
                <w:spacing w:val="4"/>
                <w:sz w:val="20"/>
                <w:szCs w:val="20"/>
                <w:lang w:val="en-GB"/>
              </w:rPr>
              <w:t xml:space="preserve">European history in a global context </w:t>
            </w:r>
            <w:r w:rsidRPr="0077627C">
              <w:rPr>
                <w:rFonts w:ascii="Arial" w:hAnsi="Arial" w:cs="Arial"/>
                <w:spacing w:val="4"/>
                <w:sz w:val="20"/>
                <w:szCs w:val="20"/>
                <w:lang w:val="en-GB"/>
              </w:rPr>
              <w:t>including histories of migration, which should reflect multiperspectivity, develop empathy and foster critical reflection.</w:t>
            </w:r>
          </w:p>
        </w:tc>
        <w:tc>
          <w:tcPr>
            <w:tcW w:w="221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School management</w:t>
            </w:r>
          </w:p>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Teachers</w:t>
            </w:r>
          </w:p>
        </w:tc>
      </w:tr>
      <w:tr w:rsidR="0077627C" w:rsidRPr="009167F9" w:rsidTr="00835443">
        <w:tc>
          <w:tcPr>
            <w:tcW w:w="907"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lastRenderedPageBreak/>
              <w:t>(f)</w:t>
            </w:r>
          </w:p>
        </w:tc>
        <w:tc>
          <w:tcPr>
            <w:tcW w:w="5936"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Student-centred pedagogical approaches, collaborative and interactive methods</w:t>
            </w:r>
            <w:r w:rsidRPr="009167F9">
              <w:rPr>
                <w:vertAlign w:val="superscript"/>
              </w:rPr>
              <w:footnoteReference w:id="13"/>
            </w:r>
            <w:r w:rsidRPr="0077627C">
              <w:rPr>
                <w:rFonts w:ascii="Arial" w:hAnsi="Arial" w:cs="Arial"/>
                <w:spacing w:val="4"/>
                <w:sz w:val="20"/>
                <w:szCs w:val="20"/>
                <w:lang w:val="en-GB"/>
              </w:rPr>
              <w:t>, making full use of the opportunities offered by new technologies and the arts, should be promoted in order to better address the diverse needs of learners, increase their motivation and promote social engagement, cultural awareness and media literacy.</w:t>
            </w:r>
          </w:p>
        </w:tc>
        <w:tc>
          <w:tcPr>
            <w:tcW w:w="2219" w:type="dxa"/>
            <w:vAlign w:val="center"/>
          </w:tcPr>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Policymakers</w:t>
            </w:r>
          </w:p>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School management</w:t>
            </w:r>
          </w:p>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Teachers</w:t>
            </w:r>
          </w:p>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Non-formal sector</w:t>
            </w:r>
          </w:p>
          <w:p w:rsidR="0077627C" w:rsidRPr="0077627C" w:rsidRDefault="0077627C" w:rsidP="00835443">
            <w:pPr>
              <w:spacing w:before="120"/>
              <w:contextualSpacing/>
              <w:jc w:val="center"/>
              <w:rPr>
                <w:rFonts w:ascii="Arial" w:hAnsi="Arial" w:cs="Arial"/>
                <w:sz w:val="20"/>
                <w:szCs w:val="20"/>
                <w:lang w:val="en-GB"/>
              </w:rPr>
            </w:pPr>
          </w:p>
        </w:tc>
      </w:tr>
    </w:tbl>
    <w:p w:rsidR="0077627C" w:rsidRPr="009167F9" w:rsidRDefault="0077627C" w:rsidP="0077627C">
      <w:pPr>
        <w:pBdr>
          <w:top w:val="nil"/>
          <w:left w:val="nil"/>
          <w:bottom w:val="nil"/>
          <w:right w:val="nil"/>
          <w:between w:val="nil"/>
          <w:bar w:val="nil"/>
        </w:pBdr>
        <w:spacing w:after="0"/>
        <w:contextualSpacing/>
        <w:rPr>
          <w:rFonts w:ascii="Arial" w:hAnsi="Arial" w:cs="Arial"/>
          <w:b/>
          <w:sz w:val="20"/>
          <w:szCs w:val="20"/>
          <w:u w:val="single"/>
        </w:rPr>
      </w:pPr>
    </w:p>
    <w:p w:rsidR="0077627C" w:rsidRPr="009167F9" w:rsidRDefault="0077627C" w:rsidP="0077627C">
      <w:pPr>
        <w:rPr>
          <w:rFonts w:ascii="Arial" w:hAnsi="Arial" w:cs="Arial"/>
          <w:b/>
          <w:i/>
          <w:color w:val="0070C0"/>
          <w:sz w:val="20"/>
          <w:szCs w:val="20"/>
        </w:rPr>
      </w:pPr>
      <w:r w:rsidRPr="009167F9">
        <w:rPr>
          <w:rFonts w:ascii="Arial" w:hAnsi="Arial" w:cs="Arial"/>
          <w:b/>
          <w:i/>
          <w:color w:val="0070C0"/>
          <w:sz w:val="20"/>
          <w:szCs w:val="20"/>
        </w:rPr>
        <w:t>Examples</w:t>
      </w:r>
    </w:p>
    <w:p w:rsidR="0077627C" w:rsidRPr="009167F9" w:rsidRDefault="0077627C" w:rsidP="0077627C">
      <w:pPr>
        <w:pStyle w:val="Heading3"/>
        <w:pBdr>
          <w:top w:val="single" w:sz="4" w:space="1" w:color="auto"/>
          <w:left w:val="single" w:sz="4" w:space="4" w:color="auto"/>
          <w:bottom w:val="single" w:sz="4" w:space="1" w:color="auto"/>
          <w:right w:val="single" w:sz="4" w:space="4" w:color="auto"/>
        </w:pBdr>
        <w:shd w:val="clear" w:color="auto" w:fill="DAEEF3" w:themeFill="accent5" w:themeFillTint="33"/>
        <w:spacing w:before="0" w:after="0" w:line="276" w:lineRule="auto"/>
        <w:rPr>
          <w:rFonts w:ascii="Arial" w:hAnsi="Arial"/>
          <w:bCs w:val="0"/>
          <w:color w:val="222222"/>
          <w:sz w:val="20"/>
          <w:szCs w:val="20"/>
        </w:rPr>
      </w:pPr>
      <w:r w:rsidRPr="009167F9">
        <w:rPr>
          <w:rFonts w:ascii="Arial" w:hAnsi="Arial"/>
          <w:sz w:val="20"/>
          <w:szCs w:val="20"/>
        </w:rPr>
        <w:t>CEJI (</w:t>
      </w:r>
      <w:r w:rsidRPr="009167F9">
        <w:rPr>
          <w:rFonts w:ascii="Arial" w:hAnsi="Arial"/>
          <w:bCs w:val="0"/>
          <w:color w:val="222222"/>
          <w:sz w:val="20"/>
          <w:szCs w:val="20"/>
        </w:rPr>
        <w:t>A Jewish Contribution to an Inclusive Europe</w:t>
      </w:r>
      <w:r w:rsidRPr="009167F9">
        <w:rPr>
          <w:rFonts w:ascii="Arial" w:hAnsi="Arial"/>
          <w:sz w:val="20"/>
          <w:szCs w:val="20"/>
        </w:rPr>
        <w:t>) – Belieforama approach - Belgium</w:t>
      </w:r>
    </w:p>
    <w:p w:rsidR="0077627C" w:rsidRPr="009167F9" w:rsidRDefault="0077627C" w:rsidP="0077627C">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adjustRightInd w:val="0"/>
        <w:spacing w:after="0"/>
        <w:rPr>
          <w:rFonts w:ascii="Arial" w:hAnsi="Arial" w:cs="Arial"/>
          <w:sz w:val="20"/>
          <w:szCs w:val="20"/>
        </w:rPr>
      </w:pPr>
      <w:r w:rsidRPr="009167F9">
        <w:rPr>
          <w:rFonts w:ascii="Arial" w:hAnsi="Arial" w:cs="Arial"/>
          <w:sz w:val="20"/>
          <w:szCs w:val="20"/>
        </w:rPr>
        <w:t xml:space="preserve">Belieforama supports individuals and organisations seeking to make a positive long-term impact on religious diversity and belief issues, by developing and providing educational processes and training materials which can inspire personal, organisational and social commitment. The approach is panoramic, bringing a variety of views and perspectives to the table, from both religious and non-religious people. The training programmes aspire to make lasting change to attitudes and behaviours and to affect policies. </w:t>
      </w:r>
    </w:p>
    <w:p w:rsidR="0077627C" w:rsidRPr="009167F9" w:rsidRDefault="0077627C" w:rsidP="0077627C">
      <w:pPr>
        <w:spacing w:after="0"/>
        <w:rPr>
          <w:rFonts w:ascii="Arial" w:hAnsi="Arial" w:cs="Arial"/>
          <w:sz w:val="20"/>
          <w:szCs w:val="20"/>
        </w:rPr>
      </w:pPr>
    </w:p>
    <w:p w:rsidR="0077627C" w:rsidRPr="009167F9" w:rsidRDefault="0077627C" w:rsidP="0077627C">
      <w:p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b/>
          <w:sz w:val="20"/>
          <w:szCs w:val="20"/>
        </w:rPr>
      </w:pPr>
      <w:r w:rsidRPr="009167F9">
        <w:rPr>
          <w:rFonts w:ascii="Arial" w:hAnsi="Arial" w:cs="Arial"/>
          <w:b/>
          <w:sz w:val="20"/>
          <w:szCs w:val="20"/>
        </w:rPr>
        <w:t>Bilingual two-way immersion programme - Germany</w:t>
      </w:r>
    </w:p>
    <w:p w:rsidR="0077627C" w:rsidRPr="009167F9" w:rsidRDefault="0077627C" w:rsidP="0077627C">
      <w:p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sz w:val="20"/>
          <w:szCs w:val="20"/>
        </w:rPr>
      </w:pPr>
      <w:r w:rsidRPr="009167F9">
        <w:rPr>
          <w:rFonts w:ascii="Arial" w:hAnsi="Arial" w:cs="Arial"/>
          <w:sz w:val="20"/>
          <w:szCs w:val="20"/>
        </w:rPr>
        <w:t>A two-way bilingual immersion programme has been in existence in Berlin (</w:t>
      </w:r>
      <w:r w:rsidRPr="009167F9">
        <w:rPr>
          <w:rFonts w:ascii="Arial" w:hAnsi="Arial" w:cs="Arial"/>
          <w:i/>
          <w:sz w:val="20"/>
          <w:szCs w:val="20"/>
        </w:rPr>
        <w:t>Staatliche Europa-Schule Berlin (SESB)</w:t>
      </w:r>
      <w:r w:rsidRPr="009167F9">
        <w:rPr>
          <w:rFonts w:ascii="Arial" w:hAnsi="Arial" w:cs="Arial"/>
          <w:sz w:val="20"/>
          <w:szCs w:val="20"/>
        </w:rPr>
        <w:t>)</w:t>
      </w:r>
      <w:r w:rsidR="00C161AD">
        <w:rPr>
          <w:rFonts w:ascii="Arial" w:hAnsi="Arial" w:cs="Arial"/>
          <w:sz w:val="20"/>
          <w:szCs w:val="20"/>
        </w:rPr>
        <w:t>,</w:t>
      </w:r>
      <w:r w:rsidRPr="009167F9">
        <w:rPr>
          <w:rFonts w:ascii="Arial" w:hAnsi="Arial" w:cs="Arial"/>
          <w:sz w:val="20"/>
          <w:szCs w:val="20"/>
        </w:rPr>
        <w:t xml:space="preserve"> since 1992. The aim is to help children become fully fluent in both German and a minority language, and to increase their linguistic competence</w:t>
      </w:r>
      <w:r>
        <w:rPr>
          <w:rFonts w:ascii="Arial" w:hAnsi="Arial" w:cs="Arial"/>
          <w:sz w:val="20"/>
          <w:szCs w:val="20"/>
        </w:rPr>
        <w:t>s</w:t>
      </w:r>
      <w:r w:rsidRPr="009167F9">
        <w:rPr>
          <w:rFonts w:ascii="Arial" w:hAnsi="Arial" w:cs="Arial"/>
          <w:sz w:val="20"/>
          <w:szCs w:val="20"/>
        </w:rPr>
        <w:t xml:space="preserve">. The programme takes place in 17 primary and 13 secondary schools in Berlin. Half of the teaching takes place in German, the other half in a second language. The programme is available for all children that have native competence in one language and have a passive understanding of </w:t>
      </w:r>
      <w:r w:rsidR="00C161AD">
        <w:rPr>
          <w:rFonts w:ascii="Arial" w:hAnsi="Arial" w:cs="Arial"/>
          <w:sz w:val="20"/>
          <w:szCs w:val="20"/>
        </w:rPr>
        <w:t xml:space="preserve">a </w:t>
      </w:r>
      <w:r w:rsidRPr="009167F9">
        <w:rPr>
          <w:rFonts w:ascii="Arial" w:hAnsi="Arial" w:cs="Arial"/>
          <w:sz w:val="20"/>
          <w:szCs w:val="20"/>
        </w:rPr>
        <w:t>second language. Groups are only separated for specific mother tongue teaching. A largely quantitative, quasi-experimental study showed that this approach promoted two-way social integration in addition to fostering personal and societal multilingualism.</w:t>
      </w:r>
    </w:p>
    <w:p w:rsidR="0077627C" w:rsidRPr="009167F9" w:rsidRDefault="0077627C" w:rsidP="0077627C">
      <w:pPr>
        <w:pBdr>
          <w:top w:val="nil"/>
          <w:left w:val="nil"/>
          <w:bottom w:val="nil"/>
          <w:right w:val="nil"/>
          <w:between w:val="nil"/>
          <w:bar w:val="nil"/>
        </w:pBdr>
        <w:spacing w:after="0"/>
        <w:contextualSpacing/>
        <w:rPr>
          <w:rFonts w:ascii="Arial" w:hAnsi="Arial" w:cs="Arial"/>
          <w:b/>
          <w:i/>
          <w:sz w:val="20"/>
          <w:szCs w:val="20"/>
          <w:u w:val="single"/>
        </w:rPr>
      </w:pPr>
    </w:p>
    <w:p w:rsidR="0077627C" w:rsidRPr="009167F9" w:rsidRDefault="0077627C" w:rsidP="0077627C">
      <w:pPr>
        <w:pBdr>
          <w:top w:val="nil"/>
          <w:left w:val="nil"/>
          <w:bottom w:val="nil"/>
          <w:right w:val="nil"/>
          <w:between w:val="nil"/>
          <w:bar w:val="nil"/>
        </w:pBdr>
        <w:spacing w:after="0"/>
        <w:contextualSpacing/>
        <w:rPr>
          <w:rFonts w:ascii="Arial" w:hAnsi="Arial" w:cs="Arial"/>
          <w:b/>
          <w:i/>
          <w:sz w:val="20"/>
          <w:szCs w:val="20"/>
          <w:u w:val="single"/>
        </w:rPr>
      </w:pPr>
    </w:p>
    <w:p w:rsidR="0077627C" w:rsidRPr="009167F9" w:rsidRDefault="0077627C" w:rsidP="0077627C">
      <w:pPr>
        <w:pStyle w:val="ListParagraph"/>
        <w:keepNext/>
        <w:widowControl w:val="0"/>
        <w:numPr>
          <w:ilvl w:val="0"/>
          <w:numId w:val="15"/>
        </w:numPr>
        <w:pBdr>
          <w:top w:val="nil"/>
          <w:left w:val="nil"/>
          <w:bottom w:val="nil"/>
          <w:right w:val="nil"/>
          <w:between w:val="nil"/>
          <w:bar w:val="nil"/>
        </w:pBdr>
        <w:spacing w:after="240" w:line="276" w:lineRule="auto"/>
        <w:contextualSpacing/>
        <w:rPr>
          <w:rFonts w:ascii="Arial" w:hAnsi="Arial" w:cs="Arial"/>
          <w:b/>
          <w:color w:val="0070C0"/>
          <w:sz w:val="20"/>
          <w:szCs w:val="20"/>
        </w:rPr>
      </w:pPr>
      <w:r w:rsidRPr="009167F9">
        <w:rPr>
          <w:rFonts w:ascii="Arial" w:hAnsi="Arial" w:cs="Arial"/>
          <w:b/>
          <w:color w:val="0070C0"/>
          <w:sz w:val="20"/>
          <w:szCs w:val="20"/>
        </w:rPr>
        <w:t>Empowering teaching professionals</w:t>
      </w:r>
    </w:p>
    <w:p w:rsidR="0077627C" w:rsidRPr="009167F9" w:rsidRDefault="0077627C" w:rsidP="0077627C">
      <w:pPr>
        <w:keepNext/>
        <w:pBdr>
          <w:top w:val="nil"/>
          <w:left w:val="nil"/>
          <w:bottom w:val="nil"/>
          <w:right w:val="nil"/>
          <w:between w:val="nil"/>
          <w:bar w:val="nil"/>
        </w:pBdr>
        <w:tabs>
          <w:tab w:val="num" w:pos="720"/>
        </w:tabs>
        <w:spacing w:after="0"/>
        <w:contextualSpacing/>
        <w:rPr>
          <w:rFonts w:ascii="Arial" w:hAnsi="Arial" w:cs="Arial"/>
          <w:bCs/>
          <w:sz w:val="20"/>
          <w:szCs w:val="20"/>
        </w:rPr>
      </w:pPr>
      <w:r w:rsidRPr="009167F9">
        <w:rPr>
          <w:rFonts w:ascii="Arial" w:hAnsi="Arial" w:cs="Arial"/>
          <w:bCs/>
          <w:sz w:val="20"/>
          <w:szCs w:val="20"/>
        </w:rPr>
        <w:t>Teaching professionals - including teachers, educators, teaching assistants, head-teachers and mediators – are the key interface between learners and the education system. Too often, only certain specialists are trained in inclusive principles, while all teachers need to know how to integrate the principles of inclusive education into</w:t>
      </w:r>
      <w:r w:rsidR="00C161AD">
        <w:rPr>
          <w:rFonts w:ascii="Arial" w:hAnsi="Arial" w:cs="Arial"/>
          <w:bCs/>
          <w:sz w:val="20"/>
          <w:szCs w:val="20"/>
        </w:rPr>
        <w:t xml:space="preserve"> their</w:t>
      </w:r>
      <w:r w:rsidRPr="009167F9">
        <w:rPr>
          <w:rFonts w:ascii="Arial" w:hAnsi="Arial" w:cs="Arial"/>
          <w:bCs/>
          <w:sz w:val="20"/>
          <w:szCs w:val="20"/>
        </w:rPr>
        <w:t xml:space="preserve"> teaching practices. </w:t>
      </w:r>
      <w:r w:rsidR="00EB32AC">
        <w:rPr>
          <w:rFonts w:ascii="Arial" w:hAnsi="Arial" w:cs="Arial"/>
          <w:bCs/>
          <w:sz w:val="20"/>
          <w:szCs w:val="20"/>
        </w:rPr>
        <w:t xml:space="preserve">It is important to </w:t>
      </w:r>
      <w:r w:rsidR="005337ED">
        <w:rPr>
          <w:rFonts w:ascii="Arial" w:hAnsi="Arial" w:cs="Arial"/>
          <w:bCs/>
          <w:sz w:val="20"/>
          <w:szCs w:val="20"/>
        </w:rPr>
        <w:t>take existing research into account when identifying the need of the educators.</w:t>
      </w:r>
      <w:r w:rsidR="00EB32AC">
        <w:rPr>
          <w:rFonts w:ascii="Arial" w:hAnsi="Arial" w:cs="Arial"/>
          <w:bCs/>
          <w:sz w:val="20"/>
          <w:szCs w:val="20"/>
        </w:rPr>
        <w:t xml:space="preserve"> </w:t>
      </w:r>
      <w:r w:rsidRPr="009167F9">
        <w:rPr>
          <w:rFonts w:ascii="Arial" w:hAnsi="Arial" w:cs="Arial"/>
          <w:bCs/>
          <w:sz w:val="20"/>
          <w:szCs w:val="20"/>
        </w:rPr>
        <w:t>There is considerable burnout among teaching staff across the EU, particularly in areas with high levels of diversity, and too many leave the profession prematurely. Defining the necessary competences and providing ongoing support to empower and extend the skills and confidence of teaching professionals to deal with the increasing diversity in classrooms is therefore crucial both in teacher education (both initial teacher education (ITE) and continuous professional development (CPD)) and in the day-to-day working environment.</w:t>
      </w:r>
    </w:p>
    <w:p w:rsidR="0077627C" w:rsidRPr="009167F9" w:rsidRDefault="0077627C" w:rsidP="0077627C">
      <w:pPr>
        <w:pBdr>
          <w:top w:val="nil"/>
          <w:left w:val="nil"/>
          <w:bottom w:val="nil"/>
          <w:right w:val="nil"/>
          <w:between w:val="nil"/>
          <w:bar w:val="nil"/>
        </w:pBdr>
        <w:spacing w:after="0"/>
        <w:ind w:left="360" w:hanging="360"/>
        <w:contextualSpacing/>
        <w:rPr>
          <w:rFonts w:ascii="Arial" w:hAnsi="Arial" w:cs="Arial"/>
          <w:b/>
          <w:sz w:val="20"/>
          <w:szCs w:val="20"/>
        </w:rPr>
      </w:pPr>
    </w:p>
    <w:tbl>
      <w:tblPr>
        <w:tblStyle w:val="TableGrid"/>
        <w:tblW w:w="0" w:type="auto"/>
        <w:tblLook w:val="04A0" w:firstRow="1" w:lastRow="0" w:firstColumn="1" w:lastColumn="0" w:noHBand="0" w:noVBand="1"/>
      </w:tblPr>
      <w:tblGrid>
        <w:gridCol w:w="539"/>
        <w:gridCol w:w="6384"/>
        <w:gridCol w:w="2081"/>
      </w:tblGrid>
      <w:tr w:rsidR="0077627C" w:rsidRPr="009167F9" w:rsidTr="00835443">
        <w:trPr>
          <w:cnfStyle w:val="100000000000" w:firstRow="1" w:lastRow="0" w:firstColumn="0" w:lastColumn="0" w:oddVBand="0" w:evenVBand="0" w:oddHBand="0" w:evenHBand="0" w:firstRowFirstColumn="0" w:firstRowLastColumn="0" w:lastRowFirstColumn="0" w:lastRowLastColumn="0"/>
        </w:trPr>
        <w:tc>
          <w:tcPr>
            <w:tcW w:w="539" w:type="dxa"/>
            <w:shd w:val="clear" w:color="auto" w:fill="548DD4" w:themeFill="text2" w:themeFillTint="99"/>
          </w:tcPr>
          <w:p w:rsidR="0077627C" w:rsidRPr="0077627C" w:rsidRDefault="0077627C" w:rsidP="00835443">
            <w:pPr>
              <w:contextualSpacing/>
              <w:jc w:val="center"/>
              <w:rPr>
                <w:rFonts w:ascii="Arial" w:hAnsi="Arial" w:cs="Arial"/>
                <w:b/>
                <w:color w:val="FFFFFF" w:themeColor="background1"/>
                <w:sz w:val="20"/>
                <w:szCs w:val="20"/>
                <w:lang w:val="en-GB"/>
              </w:rPr>
            </w:pPr>
          </w:p>
        </w:tc>
        <w:tc>
          <w:tcPr>
            <w:tcW w:w="6434" w:type="dxa"/>
            <w:shd w:val="clear" w:color="auto" w:fill="548DD4" w:themeFill="text2" w:themeFillTint="99"/>
          </w:tcPr>
          <w:p w:rsidR="0077627C" w:rsidRPr="009167F9" w:rsidRDefault="0077627C" w:rsidP="00835443">
            <w:pPr>
              <w:contextualSpacing/>
              <w:jc w:val="center"/>
              <w:rPr>
                <w:rFonts w:ascii="Arial" w:hAnsi="Arial" w:cs="Arial"/>
                <w:b/>
                <w:color w:val="FFFFFF" w:themeColor="background1"/>
                <w:sz w:val="20"/>
                <w:szCs w:val="20"/>
              </w:rPr>
            </w:pPr>
            <w:r w:rsidRPr="009167F9">
              <w:rPr>
                <w:rFonts w:ascii="Arial" w:hAnsi="Arial" w:cs="Arial"/>
                <w:b/>
                <w:color w:val="FFFFFF" w:themeColor="background1"/>
                <w:sz w:val="20"/>
                <w:szCs w:val="20"/>
              </w:rPr>
              <w:t>Key message</w:t>
            </w:r>
          </w:p>
        </w:tc>
        <w:tc>
          <w:tcPr>
            <w:tcW w:w="2089" w:type="dxa"/>
            <w:shd w:val="clear" w:color="auto" w:fill="548DD4" w:themeFill="text2" w:themeFillTint="99"/>
          </w:tcPr>
          <w:p w:rsidR="0077627C" w:rsidRPr="009167F9" w:rsidRDefault="0077627C" w:rsidP="00835443">
            <w:pPr>
              <w:contextualSpacing/>
              <w:jc w:val="center"/>
              <w:rPr>
                <w:rFonts w:ascii="Arial" w:hAnsi="Arial" w:cs="Arial"/>
                <w:b/>
                <w:color w:val="FFFFFF" w:themeColor="background1"/>
                <w:sz w:val="20"/>
                <w:szCs w:val="20"/>
              </w:rPr>
            </w:pPr>
            <w:r w:rsidRPr="009167F9">
              <w:rPr>
                <w:rFonts w:ascii="Arial" w:hAnsi="Arial" w:cs="Arial"/>
                <w:b/>
                <w:color w:val="FFFFFF" w:themeColor="background1"/>
                <w:sz w:val="20"/>
                <w:szCs w:val="20"/>
              </w:rPr>
              <w:t>Target groups</w:t>
            </w:r>
          </w:p>
        </w:tc>
      </w:tr>
      <w:tr w:rsidR="0077627C" w:rsidRPr="009167F9" w:rsidTr="00835443">
        <w:tc>
          <w:tcPr>
            <w:tcW w:w="539" w:type="dxa"/>
            <w:vAlign w:val="center"/>
          </w:tcPr>
          <w:p w:rsidR="0077627C" w:rsidRPr="009167F9" w:rsidRDefault="0077627C" w:rsidP="00835443">
            <w:pPr>
              <w:jc w:val="center"/>
              <w:rPr>
                <w:rFonts w:ascii="Arial" w:hAnsi="Arial" w:cs="Arial"/>
                <w:spacing w:val="4"/>
                <w:sz w:val="20"/>
                <w:szCs w:val="20"/>
              </w:rPr>
            </w:pPr>
            <w:r w:rsidRPr="009167F9">
              <w:rPr>
                <w:rFonts w:ascii="Arial" w:hAnsi="Arial" w:cs="Arial"/>
                <w:spacing w:val="4"/>
                <w:sz w:val="20"/>
                <w:szCs w:val="20"/>
              </w:rPr>
              <w:t>(a)</w:t>
            </w:r>
          </w:p>
        </w:tc>
        <w:tc>
          <w:tcPr>
            <w:tcW w:w="6434"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 xml:space="preserve">It is necessary to support the development of key competences for teachers including: the awareness of the importance of values and </w:t>
            </w:r>
            <w:r w:rsidRPr="0077627C">
              <w:rPr>
                <w:rFonts w:ascii="Arial" w:hAnsi="Arial" w:cs="Arial"/>
                <w:spacing w:val="4"/>
                <w:sz w:val="20"/>
                <w:szCs w:val="20"/>
                <w:lang w:val="en-GB"/>
              </w:rPr>
              <w:lastRenderedPageBreak/>
              <w:t>how to transmit them; applying inclusive pedagogical approaches; recognising and avoiding stereotyping and discrimination; raising cultural awareness; addressing controversial issues; teaching the language of instruction as a foreign</w:t>
            </w:r>
            <w:r w:rsidR="00C161AD">
              <w:rPr>
                <w:rFonts w:ascii="Arial" w:hAnsi="Arial" w:cs="Arial"/>
                <w:spacing w:val="4"/>
                <w:sz w:val="20"/>
                <w:szCs w:val="20"/>
                <w:lang w:val="en-GB"/>
              </w:rPr>
              <w:t xml:space="preserve"> or second</w:t>
            </w:r>
            <w:r w:rsidRPr="0077627C">
              <w:rPr>
                <w:rFonts w:ascii="Arial" w:hAnsi="Arial" w:cs="Arial"/>
                <w:spacing w:val="4"/>
                <w:sz w:val="20"/>
                <w:szCs w:val="20"/>
                <w:lang w:val="en-GB"/>
              </w:rPr>
              <w:t xml:space="preserve"> language; using new media to support inclusion; developing social and civic competences; effectively integrating newly arrived migrants/refugees; and, supporting learners with special educational needs.</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lastRenderedPageBreak/>
              <w:t>Policymakers</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(b)</w:t>
            </w:r>
          </w:p>
        </w:tc>
        <w:tc>
          <w:tcPr>
            <w:tcW w:w="6434"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ITE and CPD need to include a greater focus on diversity training and the core principles of inclusive education, fostered through exchanges and peer learning programmes, experiential learning, guidance, mentoring and other support schemes</w:t>
            </w:r>
            <w:r w:rsidRPr="009167F9">
              <w:rPr>
                <w:rFonts w:ascii="Arial" w:hAnsi="Arial" w:cs="Arial"/>
                <w:spacing w:val="4"/>
                <w:sz w:val="20"/>
                <w:szCs w:val="20"/>
                <w:vertAlign w:val="superscript"/>
              </w:rPr>
              <w:footnoteReference w:id="14"/>
            </w:r>
            <w:r w:rsidRPr="0077627C">
              <w:rPr>
                <w:rFonts w:ascii="Arial" w:hAnsi="Arial" w:cs="Arial"/>
                <w:spacing w:val="4"/>
                <w:sz w:val="20"/>
                <w:szCs w:val="20"/>
                <w:lang w:val="en-GB"/>
              </w:rPr>
              <w:t>, including the use of practical tools, and working with civil society organisations.</w:t>
            </w:r>
          </w:p>
        </w:tc>
        <w:tc>
          <w:tcPr>
            <w:tcW w:w="2089" w:type="dxa"/>
            <w:vAlign w:val="center"/>
          </w:tcPr>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Policymakers</w:t>
            </w:r>
          </w:p>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School management Non-formal sector</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(c)</w:t>
            </w:r>
          </w:p>
        </w:tc>
        <w:tc>
          <w:tcPr>
            <w:tcW w:w="6434"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Diversity in the teaching profession can contribute to promoting inclusive education. Extra efforts are needed to recruit teachers from diverse backgrounds and involve them in training other teachers. The teaching profession should be explicitly promoted as a career opportunity open to all individuals. Barriers for specific groups who may wish to take up a career in teaching (e.g. people with disabilities, with a migrant/minority background, LGBTI people, etc.) should be identified and addressed. Fast tracking for recent migrants in Europe with an education background into the teaching profession can support inclusion and ease teacher shortages.</w:t>
            </w:r>
          </w:p>
        </w:tc>
        <w:tc>
          <w:tcPr>
            <w:tcW w:w="2089" w:type="dxa"/>
            <w:vAlign w:val="center"/>
          </w:tcPr>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Policymakers</w:t>
            </w:r>
          </w:p>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School management</w:t>
            </w:r>
          </w:p>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Non-formal sector</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(d)</w:t>
            </w:r>
          </w:p>
        </w:tc>
        <w:tc>
          <w:tcPr>
            <w:tcW w:w="6434"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It is essential to keep up the motivation of teaching staff and create incentives to attract the best teachers to learning institutions in deprived areas or with high degrees of diversity.</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School management</w:t>
            </w:r>
          </w:p>
        </w:tc>
      </w:tr>
    </w:tbl>
    <w:p w:rsidR="0077627C" w:rsidRPr="009167F9" w:rsidRDefault="0077627C" w:rsidP="0077627C">
      <w:pPr>
        <w:pBdr>
          <w:top w:val="nil"/>
          <w:left w:val="nil"/>
          <w:bottom w:val="nil"/>
          <w:right w:val="nil"/>
          <w:between w:val="nil"/>
          <w:bar w:val="nil"/>
        </w:pBdr>
        <w:spacing w:after="0"/>
        <w:ind w:left="360" w:hanging="360"/>
        <w:contextualSpacing/>
        <w:rPr>
          <w:rFonts w:ascii="Arial" w:hAnsi="Arial" w:cs="Arial"/>
          <w:b/>
          <w:sz w:val="20"/>
          <w:szCs w:val="20"/>
        </w:rPr>
      </w:pPr>
    </w:p>
    <w:p w:rsidR="0077627C" w:rsidRPr="009167F9" w:rsidRDefault="0077627C" w:rsidP="0077627C">
      <w:pPr>
        <w:rPr>
          <w:rFonts w:ascii="Arial" w:hAnsi="Arial" w:cs="Arial"/>
          <w:b/>
          <w:i/>
          <w:color w:val="0070C0"/>
          <w:sz w:val="20"/>
          <w:szCs w:val="20"/>
        </w:rPr>
      </w:pPr>
      <w:r w:rsidRPr="009167F9">
        <w:rPr>
          <w:rFonts w:ascii="Arial" w:hAnsi="Arial" w:cs="Arial"/>
          <w:b/>
          <w:i/>
          <w:color w:val="0070C0"/>
          <w:sz w:val="20"/>
          <w:szCs w:val="20"/>
        </w:rPr>
        <w:t>Examples</w:t>
      </w:r>
    </w:p>
    <w:p w:rsidR="0077627C" w:rsidRPr="009167F9" w:rsidRDefault="0077627C" w:rsidP="0077627C">
      <w:pPr>
        <w:pStyle w:val="Default"/>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Arial" w:hAnsi="Arial" w:cs="Arial"/>
          <w:b/>
          <w:bCs/>
          <w:color w:val="auto"/>
          <w:sz w:val="20"/>
          <w:szCs w:val="20"/>
          <w:lang w:val="en-GB"/>
        </w:rPr>
      </w:pPr>
      <w:r>
        <w:rPr>
          <w:rFonts w:ascii="Arial" w:hAnsi="Arial" w:cs="Arial"/>
          <w:b/>
          <w:bCs/>
          <w:color w:val="auto"/>
          <w:sz w:val="20"/>
          <w:szCs w:val="20"/>
          <w:lang w:val="en-GB"/>
        </w:rPr>
        <w:t>Fast track for migrant t</w:t>
      </w:r>
      <w:r w:rsidRPr="009167F9">
        <w:rPr>
          <w:rFonts w:ascii="Arial" w:hAnsi="Arial" w:cs="Arial"/>
          <w:b/>
          <w:bCs/>
          <w:color w:val="auto"/>
          <w:sz w:val="20"/>
          <w:szCs w:val="20"/>
          <w:lang w:val="en-GB"/>
        </w:rPr>
        <w:t>eachers - Sweden</w:t>
      </w:r>
    </w:p>
    <w:p w:rsidR="0077627C" w:rsidRPr="009167F9" w:rsidRDefault="0077627C" w:rsidP="0077627C">
      <w:p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sz w:val="20"/>
          <w:szCs w:val="20"/>
        </w:rPr>
      </w:pPr>
      <w:r w:rsidRPr="009167F9">
        <w:rPr>
          <w:rFonts w:ascii="Arial" w:hAnsi="Arial" w:cs="Arial"/>
          <w:sz w:val="20"/>
          <w:szCs w:val="20"/>
        </w:rPr>
        <w:t>In response to a shortage of teachers in Sweden and the arrival of thousands of refugees with an educator background in 2015, Sweden introduced the ‘The Fast Track for migrant teachers and Bridging program</w:t>
      </w:r>
      <w:r>
        <w:rPr>
          <w:rFonts w:ascii="Arial" w:hAnsi="Arial" w:cs="Arial"/>
          <w:sz w:val="20"/>
          <w:szCs w:val="20"/>
        </w:rPr>
        <w:t>me</w:t>
      </w:r>
      <w:r w:rsidRPr="009167F9">
        <w:rPr>
          <w:rFonts w:ascii="Arial" w:hAnsi="Arial" w:cs="Arial"/>
          <w:sz w:val="20"/>
          <w:szCs w:val="20"/>
        </w:rPr>
        <w:t>s for international graduates in Sweden - supplementary education for persons with a foreign teachers</w:t>
      </w:r>
      <w:r w:rsidR="00C161AD">
        <w:rPr>
          <w:rFonts w:ascii="Arial" w:hAnsi="Arial" w:cs="Arial"/>
          <w:sz w:val="20"/>
          <w:szCs w:val="20"/>
        </w:rPr>
        <w:t>'</w:t>
      </w:r>
      <w:r w:rsidRPr="009167F9">
        <w:rPr>
          <w:rFonts w:ascii="Arial" w:hAnsi="Arial" w:cs="Arial"/>
          <w:sz w:val="20"/>
          <w:szCs w:val="20"/>
        </w:rPr>
        <w:t xml:space="preserve"> degree.’ Between April 2016 and February 2018, close to 1000 participants (at six Higher Education Institutions in Sweden) had started this course. More than 600 participants have completed the course and after further education will have the opportunity to enter the Swedish education system in an educator capacity. </w:t>
      </w:r>
    </w:p>
    <w:p w:rsidR="0077627C" w:rsidRPr="009167F9" w:rsidRDefault="0077627C" w:rsidP="0077627C">
      <w:pPr>
        <w:pStyle w:val="Default"/>
        <w:spacing w:line="276" w:lineRule="auto"/>
        <w:jc w:val="both"/>
        <w:rPr>
          <w:rFonts w:ascii="Arial" w:hAnsi="Arial" w:cs="Arial"/>
          <w:b/>
          <w:bCs/>
          <w:color w:val="auto"/>
          <w:sz w:val="20"/>
          <w:szCs w:val="20"/>
          <w:lang w:val="en-GB"/>
        </w:rPr>
      </w:pPr>
    </w:p>
    <w:p w:rsidR="0077627C" w:rsidRPr="009167F9" w:rsidRDefault="0077627C" w:rsidP="0077627C">
      <w:pPr>
        <w:pStyle w:val="Default"/>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Arial" w:hAnsi="Arial" w:cs="Arial"/>
          <w:b/>
          <w:bCs/>
          <w:color w:val="auto"/>
          <w:sz w:val="20"/>
          <w:szCs w:val="20"/>
          <w:lang w:val="en-GB"/>
        </w:rPr>
      </w:pPr>
      <w:r w:rsidRPr="009167F9">
        <w:rPr>
          <w:rFonts w:ascii="Arial" w:hAnsi="Arial" w:cs="Arial"/>
          <w:b/>
          <w:bCs/>
          <w:color w:val="auto"/>
          <w:sz w:val="20"/>
          <w:szCs w:val="20"/>
          <w:lang w:val="en-GB"/>
        </w:rPr>
        <w:t>EUROCLIO (</w:t>
      </w:r>
      <w:r w:rsidRPr="009167F9">
        <w:rPr>
          <w:rFonts w:ascii="Arial" w:eastAsia="Times New Roman" w:hAnsi="Arial" w:cs="Arial"/>
          <w:b/>
          <w:sz w:val="20"/>
          <w:szCs w:val="20"/>
          <w:lang w:val="en-GB" w:eastAsia="en-US"/>
        </w:rPr>
        <w:t>European Association of His</w:t>
      </w:r>
      <w:r>
        <w:rPr>
          <w:rFonts w:ascii="Arial" w:eastAsia="Times New Roman" w:hAnsi="Arial" w:cs="Arial"/>
          <w:b/>
          <w:sz w:val="20"/>
          <w:szCs w:val="20"/>
          <w:lang w:val="en-GB" w:eastAsia="en-US"/>
        </w:rPr>
        <w:t>tory Educators) – International</w:t>
      </w:r>
    </w:p>
    <w:p w:rsidR="0077627C" w:rsidRPr="009167F9" w:rsidRDefault="0077627C" w:rsidP="0077627C">
      <w:pPr>
        <w:pBdr>
          <w:top w:val="single" w:sz="4" w:space="1" w:color="auto"/>
          <w:left w:val="single" w:sz="4" w:space="4" w:color="auto"/>
          <w:bottom w:val="single" w:sz="4" w:space="1" w:color="auto"/>
          <w:right w:val="single" w:sz="4" w:space="4" w:color="auto"/>
        </w:pBdr>
        <w:shd w:val="clear" w:color="auto" w:fill="DAEEF3" w:themeFill="accent5" w:themeFillTint="33"/>
      </w:pPr>
      <w:r w:rsidRPr="009167F9">
        <w:rPr>
          <w:rFonts w:ascii="Arial" w:hAnsi="Arial" w:cs="Arial"/>
          <w:sz w:val="20"/>
          <w:szCs w:val="20"/>
        </w:rPr>
        <w:t xml:space="preserve">Euroclio serves as an umbrella organisation for 44 member associations and 15 associated members from some 52 countries, mostly in Europe. Its mission is to support: ‘the development of responsible and innovative history, citizenship and heritage education by promoting critical thinking, multiperspectivity, mutual respect, and the inclusion of controversial issues’. The Association </w:t>
      </w:r>
      <w:r w:rsidRPr="009167F9">
        <w:rPr>
          <w:rFonts w:ascii="Arial" w:hAnsi="Arial" w:cs="Arial"/>
          <w:sz w:val="20"/>
          <w:szCs w:val="20"/>
        </w:rPr>
        <w:lastRenderedPageBreak/>
        <w:t>advocates a sound use of history and heritage education towards the building and deepening of democratic societies, connecting professionals across boundaries of communities, countries, ethnicities and religions. It seeks to enhance the quality of history and citizenship education through capacity building for educators, and producing and implementing</w:t>
      </w:r>
      <w:r w:rsidRPr="009167F9">
        <w:t xml:space="preserve"> </w:t>
      </w:r>
      <w:r w:rsidRPr="00C161AD">
        <w:rPr>
          <w:rFonts w:ascii="Arial" w:hAnsi="Arial" w:cs="Arial"/>
          <w:sz w:val="20"/>
          <w:szCs w:val="20"/>
        </w:rPr>
        <w:t>innovative teaching tools.</w:t>
      </w:r>
    </w:p>
    <w:p w:rsidR="0077627C" w:rsidRPr="009167F9" w:rsidRDefault="0077627C" w:rsidP="000003EF">
      <w:pPr>
        <w:pStyle w:val="ListParagraph"/>
        <w:numPr>
          <w:ilvl w:val="0"/>
          <w:numId w:val="0"/>
        </w:numPr>
        <w:ind w:left="714"/>
        <w:rPr>
          <w:rFonts w:ascii="Arial" w:hAnsi="Arial" w:cs="Arial"/>
          <w:spacing w:val="4"/>
          <w:sz w:val="20"/>
          <w:szCs w:val="20"/>
        </w:rPr>
      </w:pPr>
    </w:p>
    <w:p w:rsidR="0077627C" w:rsidRPr="009167F9" w:rsidRDefault="0077627C" w:rsidP="0077627C">
      <w:pPr>
        <w:pStyle w:val="ListParagraph"/>
        <w:keepNext/>
        <w:widowControl w:val="0"/>
        <w:numPr>
          <w:ilvl w:val="0"/>
          <w:numId w:val="15"/>
        </w:numPr>
        <w:pBdr>
          <w:top w:val="nil"/>
          <w:left w:val="nil"/>
          <w:bottom w:val="nil"/>
          <w:right w:val="nil"/>
          <w:between w:val="nil"/>
          <w:bar w:val="nil"/>
        </w:pBdr>
        <w:spacing w:after="240" w:line="276" w:lineRule="auto"/>
        <w:contextualSpacing/>
        <w:rPr>
          <w:rFonts w:ascii="Arial" w:hAnsi="Arial" w:cs="Arial"/>
          <w:b/>
          <w:color w:val="0070C0"/>
          <w:sz w:val="20"/>
          <w:szCs w:val="20"/>
        </w:rPr>
      </w:pPr>
      <w:r w:rsidRPr="009167F9">
        <w:rPr>
          <w:rFonts w:ascii="Arial" w:hAnsi="Arial" w:cs="Arial"/>
          <w:b/>
          <w:color w:val="0070C0"/>
          <w:sz w:val="20"/>
          <w:szCs w:val="20"/>
        </w:rPr>
        <w:t>Fostering an inclusive and democratic learning environment</w:t>
      </w:r>
    </w:p>
    <w:p w:rsidR="0077627C" w:rsidRPr="009167F9" w:rsidRDefault="0077627C" w:rsidP="0077627C">
      <w:pPr>
        <w:keepNext/>
        <w:pBdr>
          <w:top w:val="nil"/>
          <w:left w:val="nil"/>
          <w:bottom w:val="nil"/>
          <w:right w:val="nil"/>
          <w:between w:val="nil"/>
          <w:bar w:val="nil"/>
        </w:pBdr>
        <w:tabs>
          <w:tab w:val="num" w:pos="720"/>
        </w:tabs>
        <w:spacing w:after="0"/>
        <w:contextualSpacing/>
        <w:rPr>
          <w:rFonts w:ascii="Arial" w:hAnsi="Arial" w:cs="Arial"/>
          <w:sz w:val="20"/>
          <w:szCs w:val="20"/>
        </w:rPr>
      </w:pPr>
      <w:r w:rsidRPr="009167F9">
        <w:rPr>
          <w:rFonts w:ascii="Arial" w:hAnsi="Arial" w:cs="Arial"/>
          <w:bCs/>
          <w:sz w:val="20"/>
          <w:szCs w:val="20"/>
        </w:rPr>
        <w:t>A democratic and inclusive school culture that values diversity and actively provides a safe space for dialogue and discussion on controversial issues is essential for socio-emotional learning</w:t>
      </w:r>
      <w:r>
        <w:rPr>
          <w:rFonts w:ascii="Arial" w:hAnsi="Arial" w:cs="Arial"/>
          <w:bCs/>
          <w:sz w:val="20"/>
          <w:szCs w:val="20"/>
        </w:rPr>
        <w:t>, intellectual development</w:t>
      </w:r>
      <w:r w:rsidRPr="009167F9">
        <w:rPr>
          <w:rFonts w:ascii="Arial" w:hAnsi="Arial" w:cs="Arial"/>
          <w:bCs/>
          <w:sz w:val="20"/>
          <w:szCs w:val="20"/>
        </w:rPr>
        <w:t xml:space="preserve"> and acquiring social and civic competences. It should be based on the active participation of all members of the school community, in particular learners, to foster their empowerment, resilience and sense of belonging, and create a safe environment where diversity is recognised, respected and seen as a resource. </w:t>
      </w:r>
      <w:r w:rsidR="005337ED">
        <w:rPr>
          <w:rFonts w:ascii="Arial" w:hAnsi="Arial" w:cs="Arial"/>
          <w:bCs/>
          <w:sz w:val="20"/>
          <w:szCs w:val="20"/>
        </w:rPr>
        <w:t>Educators and trainers are a vi</w:t>
      </w:r>
      <w:r w:rsidR="00616CDA">
        <w:rPr>
          <w:rFonts w:ascii="Arial" w:hAnsi="Arial" w:cs="Arial"/>
          <w:bCs/>
          <w:sz w:val="20"/>
          <w:szCs w:val="20"/>
        </w:rPr>
        <w:t>tal group that need continuous</w:t>
      </w:r>
      <w:r w:rsidR="005337ED">
        <w:rPr>
          <w:rFonts w:ascii="Arial" w:hAnsi="Arial" w:cs="Arial"/>
          <w:bCs/>
          <w:sz w:val="20"/>
          <w:szCs w:val="20"/>
        </w:rPr>
        <w:t xml:space="preserve"> professional development to enhance an inclusive learning environment. </w:t>
      </w:r>
      <w:r w:rsidRPr="009167F9">
        <w:rPr>
          <w:rFonts w:ascii="Arial" w:hAnsi="Arial" w:cs="Arial"/>
          <w:bCs/>
          <w:sz w:val="20"/>
          <w:szCs w:val="20"/>
        </w:rPr>
        <w:t xml:space="preserve">In an inclusive learning environment, diversity is respected and embraced by all and promoting </w:t>
      </w:r>
      <w:r w:rsidR="00616CDA">
        <w:rPr>
          <w:rFonts w:ascii="Arial" w:hAnsi="Arial" w:cs="Arial"/>
          <w:bCs/>
          <w:sz w:val="20"/>
          <w:szCs w:val="20"/>
        </w:rPr>
        <w:t>a</w:t>
      </w:r>
      <w:r w:rsidRPr="009167F9">
        <w:rPr>
          <w:rFonts w:ascii="Arial" w:hAnsi="Arial" w:cs="Arial"/>
          <w:bCs/>
          <w:sz w:val="20"/>
          <w:szCs w:val="20"/>
        </w:rPr>
        <w:t xml:space="preserve"> sense of belonging and positive intergroup relations are aims</w:t>
      </w:r>
      <w:r w:rsidR="00616CDA">
        <w:rPr>
          <w:rFonts w:ascii="Arial" w:hAnsi="Arial" w:cs="Arial"/>
          <w:bCs/>
          <w:sz w:val="20"/>
          <w:szCs w:val="20"/>
        </w:rPr>
        <w:t xml:space="preserve"> in it of</w:t>
      </w:r>
      <w:r w:rsidRPr="009167F9">
        <w:rPr>
          <w:rFonts w:ascii="Arial" w:hAnsi="Arial" w:cs="Arial"/>
          <w:bCs/>
          <w:sz w:val="20"/>
          <w:szCs w:val="20"/>
        </w:rPr>
        <w:t xml:space="preserve"> themselves. Such learning environments can best be promoted through whole school approaches. </w:t>
      </w:r>
    </w:p>
    <w:p w:rsidR="0077627C" w:rsidRPr="009167F9" w:rsidRDefault="0077627C" w:rsidP="0077627C">
      <w:pPr>
        <w:pBdr>
          <w:top w:val="nil"/>
          <w:left w:val="nil"/>
          <w:bottom w:val="nil"/>
          <w:right w:val="nil"/>
          <w:between w:val="nil"/>
          <w:bar w:val="nil"/>
        </w:pBdr>
        <w:spacing w:after="0"/>
        <w:rPr>
          <w:rFonts w:ascii="Arial" w:hAnsi="Arial" w:cs="Arial"/>
          <w:sz w:val="20"/>
          <w:szCs w:val="20"/>
        </w:rPr>
      </w:pPr>
    </w:p>
    <w:tbl>
      <w:tblPr>
        <w:tblStyle w:val="TableGrid"/>
        <w:tblW w:w="0" w:type="auto"/>
        <w:tblLook w:val="04A0" w:firstRow="1" w:lastRow="0" w:firstColumn="1" w:lastColumn="0" w:noHBand="0" w:noVBand="1"/>
      </w:tblPr>
      <w:tblGrid>
        <w:gridCol w:w="538"/>
        <w:gridCol w:w="6384"/>
        <w:gridCol w:w="2082"/>
      </w:tblGrid>
      <w:tr w:rsidR="0077627C" w:rsidRPr="009167F9" w:rsidTr="00835443">
        <w:trPr>
          <w:cnfStyle w:val="100000000000" w:firstRow="1" w:lastRow="0" w:firstColumn="0" w:lastColumn="0" w:oddVBand="0" w:evenVBand="0" w:oddHBand="0" w:evenHBand="0" w:firstRowFirstColumn="0" w:firstRowLastColumn="0" w:lastRowFirstColumn="0" w:lastRowLastColumn="0"/>
        </w:trPr>
        <w:tc>
          <w:tcPr>
            <w:tcW w:w="539" w:type="dxa"/>
            <w:shd w:val="clear" w:color="auto" w:fill="548DD4" w:themeFill="text2" w:themeFillTint="99"/>
          </w:tcPr>
          <w:p w:rsidR="0077627C" w:rsidRPr="0077627C" w:rsidRDefault="0077627C" w:rsidP="00835443">
            <w:pPr>
              <w:contextualSpacing/>
              <w:jc w:val="center"/>
              <w:rPr>
                <w:rFonts w:ascii="Arial" w:hAnsi="Arial" w:cs="Arial"/>
                <w:b/>
                <w:color w:val="FFFFFF" w:themeColor="background1"/>
                <w:sz w:val="20"/>
                <w:szCs w:val="20"/>
                <w:lang w:val="en-GB"/>
              </w:rPr>
            </w:pPr>
          </w:p>
        </w:tc>
        <w:tc>
          <w:tcPr>
            <w:tcW w:w="6434" w:type="dxa"/>
            <w:shd w:val="clear" w:color="auto" w:fill="548DD4" w:themeFill="text2" w:themeFillTint="99"/>
          </w:tcPr>
          <w:p w:rsidR="0077627C" w:rsidRPr="009167F9" w:rsidRDefault="0077627C" w:rsidP="00835443">
            <w:pPr>
              <w:contextualSpacing/>
              <w:jc w:val="center"/>
              <w:rPr>
                <w:rFonts w:ascii="Arial" w:hAnsi="Arial" w:cs="Arial"/>
                <w:b/>
                <w:color w:val="FFFFFF" w:themeColor="background1"/>
                <w:sz w:val="20"/>
                <w:szCs w:val="20"/>
              </w:rPr>
            </w:pPr>
            <w:r w:rsidRPr="009167F9">
              <w:rPr>
                <w:rFonts w:ascii="Arial" w:hAnsi="Arial" w:cs="Arial"/>
                <w:b/>
                <w:color w:val="FFFFFF" w:themeColor="background1"/>
                <w:sz w:val="20"/>
                <w:szCs w:val="20"/>
              </w:rPr>
              <w:t>Key message</w:t>
            </w:r>
          </w:p>
        </w:tc>
        <w:tc>
          <w:tcPr>
            <w:tcW w:w="2089" w:type="dxa"/>
            <w:shd w:val="clear" w:color="auto" w:fill="548DD4" w:themeFill="text2" w:themeFillTint="99"/>
          </w:tcPr>
          <w:p w:rsidR="0077627C" w:rsidRPr="009167F9" w:rsidRDefault="0077627C" w:rsidP="00835443">
            <w:pPr>
              <w:contextualSpacing/>
              <w:jc w:val="center"/>
              <w:rPr>
                <w:rFonts w:ascii="Arial" w:hAnsi="Arial" w:cs="Arial"/>
                <w:b/>
                <w:color w:val="FFFFFF" w:themeColor="background1"/>
                <w:sz w:val="20"/>
                <w:szCs w:val="20"/>
              </w:rPr>
            </w:pPr>
            <w:r w:rsidRPr="009167F9">
              <w:rPr>
                <w:rFonts w:ascii="Arial" w:hAnsi="Arial" w:cs="Arial"/>
                <w:b/>
                <w:color w:val="FFFFFF" w:themeColor="background1"/>
                <w:sz w:val="20"/>
                <w:szCs w:val="20"/>
              </w:rPr>
              <w:t>Target groups</w:t>
            </w:r>
          </w:p>
        </w:tc>
      </w:tr>
      <w:tr w:rsidR="0077627C" w:rsidRPr="009167F9" w:rsidTr="00835443">
        <w:tc>
          <w:tcPr>
            <w:tcW w:w="539" w:type="dxa"/>
            <w:vAlign w:val="center"/>
          </w:tcPr>
          <w:p w:rsidR="0077627C" w:rsidRPr="009167F9" w:rsidRDefault="0077627C" w:rsidP="00835443">
            <w:pPr>
              <w:jc w:val="center"/>
              <w:rPr>
                <w:rFonts w:ascii="Arial" w:hAnsi="Arial" w:cs="Arial"/>
                <w:spacing w:val="4"/>
                <w:sz w:val="20"/>
                <w:szCs w:val="20"/>
              </w:rPr>
            </w:pPr>
            <w:r w:rsidRPr="009167F9">
              <w:rPr>
                <w:rFonts w:ascii="Arial" w:hAnsi="Arial" w:cs="Arial"/>
                <w:spacing w:val="4"/>
                <w:sz w:val="20"/>
                <w:szCs w:val="20"/>
              </w:rPr>
              <w:t>(a)</w:t>
            </w:r>
          </w:p>
        </w:tc>
        <w:tc>
          <w:tcPr>
            <w:tcW w:w="6434"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It is essential to develop a culture of inclusiveness in schools that values diversity, fosters the talents of all learners and reinforces the sense of belonging to the school community based on democratic values and trust.</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School management</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(b)</w:t>
            </w:r>
          </w:p>
        </w:tc>
        <w:tc>
          <w:tcPr>
            <w:tcW w:w="6434"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School leadership should be based on the active participation of all members of the school community, in particular learners, to foster their empowerment in line with a whole school approach.</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School management</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(c)</w:t>
            </w:r>
          </w:p>
        </w:tc>
        <w:tc>
          <w:tcPr>
            <w:tcW w:w="6434" w:type="dxa"/>
          </w:tcPr>
          <w:p w:rsidR="0077627C" w:rsidRPr="0077627C" w:rsidRDefault="0077627C" w:rsidP="00A26900">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Encouraging a greater socio-economic, ethnic and cultural mix in learning institutions and promoting the inclusion of students with special</w:t>
            </w:r>
            <w:r w:rsidR="00A26900">
              <w:rPr>
                <w:rFonts w:ascii="Arial" w:hAnsi="Arial" w:cs="Arial"/>
                <w:spacing w:val="4"/>
                <w:sz w:val="20"/>
                <w:szCs w:val="20"/>
                <w:lang w:val="en-GB"/>
              </w:rPr>
              <w:t xml:space="preserve"> educational</w:t>
            </w:r>
            <w:r w:rsidRPr="0077627C">
              <w:rPr>
                <w:rFonts w:ascii="Arial" w:hAnsi="Arial" w:cs="Arial"/>
                <w:spacing w:val="4"/>
                <w:sz w:val="20"/>
                <w:szCs w:val="20"/>
                <w:lang w:val="en-GB"/>
              </w:rPr>
              <w:t xml:space="preserve"> needs in mainstream settings requires active and systematic measures. All learners should have the opportunity to access good quality education in an inclusive learning environment.</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School management</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(d)</w:t>
            </w:r>
          </w:p>
        </w:tc>
        <w:tc>
          <w:tcPr>
            <w:tcW w:w="6434"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Individualised approaches, differentiated learning and targeted support schemes are important for learners facing difficulties, in particular those from disadvantaged or migrant backgrounds or with special educational needs, including support for the acquisition of the language of instruction. The use of pedagogical assistants and mediators, in particular from migrant and minority communities, can be helpful.</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School management</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Pr>
                <w:rFonts w:ascii="Arial" w:hAnsi="Arial" w:cs="Arial"/>
                <w:sz w:val="20"/>
                <w:szCs w:val="20"/>
              </w:rPr>
              <w:t>(e)</w:t>
            </w:r>
          </w:p>
        </w:tc>
        <w:tc>
          <w:tcPr>
            <w:tcW w:w="6434" w:type="dxa"/>
          </w:tcPr>
          <w:p w:rsidR="0077627C" w:rsidRPr="0077627C" w:rsidRDefault="0077627C" w:rsidP="00835443">
            <w:pPr>
              <w:spacing w:before="120" w:line="276" w:lineRule="auto"/>
              <w:rPr>
                <w:lang w:val="en-GB"/>
              </w:rPr>
            </w:pPr>
            <w:r w:rsidRPr="0077627C">
              <w:rPr>
                <w:rFonts w:ascii="Arial" w:hAnsi="Arial" w:cs="Arial"/>
                <w:spacing w:val="4"/>
                <w:sz w:val="20"/>
                <w:szCs w:val="20"/>
                <w:lang w:val="en-GB"/>
              </w:rPr>
              <w:t>Digital tools (e.g. mobile apps, instant translation tools for school communications, etc.) – which are often free to use or have a minimal cost - should be provided in schools to facilitate multilingual communication and comprehension for all pupils and their families.</w:t>
            </w:r>
          </w:p>
        </w:tc>
        <w:tc>
          <w:tcPr>
            <w:tcW w:w="2089" w:type="dxa"/>
            <w:vAlign w:val="center"/>
          </w:tcPr>
          <w:p w:rsidR="0077627C" w:rsidRDefault="0077627C" w:rsidP="00835443">
            <w:pPr>
              <w:spacing w:before="120"/>
              <w:contextualSpacing/>
              <w:jc w:val="center"/>
              <w:rPr>
                <w:rFonts w:ascii="Arial" w:hAnsi="Arial" w:cs="Arial"/>
                <w:sz w:val="20"/>
                <w:szCs w:val="20"/>
              </w:rPr>
            </w:pPr>
            <w:r>
              <w:rPr>
                <w:rFonts w:ascii="Arial" w:hAnsi="Arial" w:cs="Arial"/>
                <w:sz w:val="20"/>
                <w:szCs w:val="20"/>
              </w:rPr>
              <w:t>Policymakers</w:t>
            </w:r>
          </w:p>
          <w:p w:rsidR="0077627C" w:rsidRPr="009167F9" w:rsidRDefault="0077627C" w:rsidP="00835443">
            <w:pPr>
              <w:spacing w:before="120"/>
              <w:contextualSpacing/>
              <w:jc w:val="center"/>
              <w:rPr>
                <w:rFonts w:ascii="Arial" w:hAnsi="Arial" w:cs="Arial"/>
                <w:sz w:val="20"/>
                <w:szCs w:val="20"/>
              </w:rPr>
            </w:pPr>
            <w:r>
              <w:rPr>
                <w:rFonts w:ascii="Arial" w:hAnsi="Arial" w:cs="Arial"/>
                <w:sz w:val="20"/>
                <w:szCs w:val="20"/>
              </w:rPr>
              <w:t>School management</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lastRenderedPageBreak/>
              <w:t>(</w:t>
            </w:r>
            <w:r>
              <w:rPr>
                <w:rFonts w:ascii="Arial" w:hAnsi="Arial" w:cs="Arial"/>
                <w:sz w:val="20"/>
                <w:szCs w:val="20"/>
              </w:rPr>
              <w:t>f</w:t>
            </w:r>
            <w:r w:rsidRPr="009167F9">
              <w:rPr>
                <w:rFonts w:ascii="Arial" w:hAnsi="Arial" w:cs="Arial"/>
                <w:sz w:val="20"/>
                <w:szCs w:val="20"/>
              </w:rPr>
              <w:t>)</w:t>
            </w:r>
          </w:p>
        </w:tc>
        <w:tc>
          <w:tcPr>
            <w:tcW w:w="6434"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The development and implementation of comprehensive anti-bullying and violence prevention strategies should be encouraged. Such strategies can include the creation of safe spaces for dialogue and discussion on controversial issues to help develop empathy, promote peaceful conflict resolution and the ability of students to understand the beliefs, interests and viewpoints of others. They should be implemented using a whole school approach in which students are given agency.</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School management</w:t>
            </w:r>
          </w:p>
        </w:tc>
      </w:tr>
    </w:tbl>
    <w:p w:rsidR="0077627C" w:rsidRPr="009167F9" w:rsidRDefault="0077627C" w:rsidP="0077627C">
      <w:pPr>
        <w:pBdr>
          <w:top w:val="nil"/>
          <w:left w:val="nil"/>
          <w:bottom w:val="nil"/>
          <w:right w:val="nil"/>
          <w:between w:val="nil"/>
          <w:bar w:val="nil"/>
        </w:pBdr>
        <w:spacing w:after="0"/>
        <w:rPr>
          <w:rFonts w:ascii="Arial" w:hAnsi="Arial" w:cs="Arial"/>
          <w:sz w:val="20"/>
          <w:szCs w:val="20"/>
        </w:rPr>
      </w:pPr>
    </w:p>
    <w:p w:rsidR="0077627C" w:rsidRPr="000B45BF" w:rsidRDefault="0077627C" w:rsidP="0077627C">
      <w:pPr>
        <w:rPr>
          <w:rFonts w:ascii="Arial" w:hAnsi="Arial" w:cs="Arial"/>
          <w:b/>
          <w:i/>
          <w:color w:val="0070C0"/>
          <w:sz w:val="20"/>
          <w:szCs w:val="20"/>
        </w:rPr>
      </w:pPr>
      <w:r w:rsidRPr="009167F9">
        <w:rPr>
          <w:rFonts w:ascii="Arial" w:hAnsi="Arial" w:cs="Arial"/>
          <w:b/>
          <w:i/>
          <w:color w:val="0070C0"/>
          <w:sz w:val="20"/>
          <w:szCs w:val="20"/>
        </w:rPr>
        <w:t xml:space="preserve">Examples </w:t>
      </w:r>
    </w:p>
    <w:p w:rsidR="0077627C" w:rsidRPr="009167F9" w:rsidRDefault="0077627C" w:rsidP="0077627C">
      <w:pPr>
        <w:pStyle w:val="Default"/>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Arial" w:hAnsi="Arial" w:cs="Arial"/>
          <w:b/>
          <w:bCs/>
          <w:color w:val="auto"/>
          <w:sz w:val="20"/>
          <w:szCs w:val="20"/>
          <w:lang w:val="en-GB"/>
        </w:rPr>
      </w:pPr>
      <w:r w:rsidRPr="009167F9">
        <w:rPr>
          <w:rFonts w:ascii="Arial" w:hAnsi="Arial" w:cs="Arial"/>
          <w:b/>
          <w:bCs/>
          <w:color w:val="auto"/>
          <w:sz w:val="20"/>
          <w:szCs w:val="20"/>
          <w:lang w:val="en-GB"/>
        </w:rPr>
        <w:t>Sag’s Multi - Austria</w:t>
      </w:r>
    </w:p>
    <w:p w:rsidR="0077627C" w:rsidRPr="009167F9" w:rsidRDefault="0077627C" w:rsidP="0077627C">
      <w:pPr>
        <w:pStyle w:val="Default"/>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Arial" w:hAnsi="Arial" w:cs="Arial"/>
          <w:sz w:val="20"/>
          <w:szCs w:val="20"/>
          <w:lang w:val="en-GB"/>
        </w:rPr>
      </w:pPr>
      <w:r w:rsidRPr="009167F9">
        <w:rPr>
          <w:rFonts w:ascii="Arial" w:hAnsi="Arial" w:cs="Arial"/>
          <w:sz w:val="20"/>
          <w:szCs w:val="20"/>
          <w:lang w:val="en-GB"/>
        </w:rPr>
        <w:t xml:space="preserve">Sag’s Multi is a joint initiative of the </w:t>
      </w:r>
      <w:r w:rsidRPr="00F15747">
        <w:rPr>
          <w:rFonts w:ascii="Arial" w:hAnsi="Arial" w:cs="Arial"/>
          <w:i/>
          <w:sz w:val="20"/>
          <w:szCs w:val="20"/>
          <w:lang w:val="en-GB"/>
        </w:rPr>
        <w:t>Wirtschaft fuer Integration</w:t>
      </w:r>
      <w:r w:rsidRPr="009167F9">
        <w:rPr>
          <w:rFonts w:ascii="Arial" w:hAnsi="Arial" w:cs="Arial"/>
          <w:sz w:val="20"/>
          <w:szCs w:val="20"/>
          <w:lang w:val="en-GB"/>
        </w:rPr>
        <w:t xml:space="preserve"> (Association for Integration) (VWFI) and the NGO Educult in Austria. The aim is primarily to promote the inclusion of children with a migrant background in the Austrian school system through activities involving writing and presentation, as well as promote multilingualism.  It is a multilingual national rhetoric competition for school youth from year 7 onwards. The competition is especially aimed at youth with a migration background. The young people create and present poetry and spoken word in which they use both their mother tongue and German.</w:t>
      </w:r>
    </w:p>
    <w:p w:rsidR="0077627C" w:rsidRDefault="0077627C" w:rsidP="0077627C">
      <w:pPr>
        <w:keepNext/>
        <w:widowControl w:val="0"/>
        <w:pBdr>
          <w:top w:val="nil"/>
          <w:left w:val="nil"/>
          <w:bottom w:val="nil"/>
          <w:right w:val="nil"/>
          <w:between w:val="nil"/>
          <w:bar w:val="nil"/>
        </w:pBdr>
        <w:spacing w:after="0"/>
        <w:rPr>
          <w:rFonts w:ascii="Arial" w:hAnsi="Arial" w:cs="Arial"/>
          <w:spacing w:val="4"/>
          <w:sz w:val="20"/>
          <w:szCs w:val="20"/>
        </w:rPr>
      </w:pPr>
    </w:p>
    <w:p w:rsidR="000003EF" w:rsidRPr="000003EF" w:rsidRDefault="000003EF" w:rsidP="0077627C">
      <w:p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b/>
          <w:sz w:val="20"/>
          <w:szCs w:val="20"/>
          <w:lang w:val="en-US"/>
        </w:rPr>
      </w:pPr>
      <w:r w:rsidRPr="000003EF">
        <w:rPr>
          <w:rFonts w:ascii="Arial" w:hAnsi="Arial" w:cs="Arial"/>
          <w:b/>
          <w:sz w:val="20"/>
          <w:szCs w:val="20"/>
          <w:lang w:val="en-US"/>
        </w:rPr>
        <w:t>School without violence - Serbia</w:t>
      </w:r>
    </w:p>
    <w:p w:rsidR="0077627C" w:rsidRPr="00C15B92" w:rsidRDefault="0077627C" w:rsidP="0077627C">
      <w:p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spacing w:val="4"/>
          <w:sz w:val="20"/>
          <w:szCs w:val="20"/>
        </w:rPr>
      </w:pPr>
      <w:r w:rsidRPr="00C15B92">
        <w:rPr>
          <w:rFonts w:ascii="Arial" w:hAnsi="Arial" w:cs="Arial"/>
          <w:sz w:val="20"/>
          <w:szCs w:val="20"/>
          <w:lang w:val="en-US"/>
        </w:rPr>
        <w:t>The 'School without Violence' project, implemented by the Serbian Ministry of Education, Science and Technological Development (MoESTD), UNICEF and TELENOR, aims to prevent and reduce violence against and among children and to create a secure environment for learning and development. The programme gives members of the school community (teachers, staff, parents, students) practical knowledge on how to prevent and solve episodes of violence when they arise. The programme aims not only to increase awareness on and motivation for action in this field, but also to develop communication skills on how to constructively resolve disputes, if and when they occur.</w:t>
      </w:r>
    </w:p>
    <w:p w:rsidR="0077627C" w:rsidRPr="009167F9" w:rsidRDefault="0077627C" w:rsidP="0077627C">
      <w:pPr>
        <w:keepNext/>
        <w:widowControl w:val="0"/>
        <w:pBdr>
          <w:top w:val="nil"/>
          <w:left w:val="nil"/>
          <w:bottom w:val="nil"/>
          <w:right w:val="nil"/>
          <w:between w:val="nil"/>
          <w:bar w:val="nil"/>
        </w:pBdr>
        <w:spacing w:after="240"/>
        <w:rPr>
          <w:rFonts w:ascii="Arial" w:hAnsi="Arial" w:cs="Arial"/>
          <w:spacing w:val="4"/>
          <w:sz w:val="20"/>
          <w:szCs w:val="20"/>
        </w:rPr>
      </w:pPr>
    </w:p>
    <w:p w:rsidR="0077627C" w:rsidRPr="004D1BFE" w:rsidRDefault="0077627C" w:rsidP="0077627C">
      <w:pPr>
        <w:pStyle w:val="ListParagraph"/>
        <w:keepNext/>
        <w:widowControl w:val="0"/>
        <w:numPr>
          <w:ilvl w:val="0"/>
          <w:numId w:val="15"/>
        </w:numPr>
        <w:pBdr>
          <w:top w:val="nil"/>
          <w:left w:val="nil"/>
          <w:bottom w:val="nil"/>
          <w:right w:val="nil"/>
          <w:between w:val="nil"/>
          <w:bar w:val="nil"/>
        </w:pBdr>
        <w:spacing w:after="240" w:line="276" w:lineRule="auto"/>
        <w:contextualSpacing/>
        <w:rPr>
          <w:rFonts w:ascii="Arial" w:hAnsi="Arial" w:cs="Arial"/>
          <w:b/>
          <w:color w:val="0070C0"/>
          <w:sz w:val="20"/>
          <w:szCs w:val="20"/>
        </w:rPr>
      </w:pPr>
      <w:r w:rsidRPr="004D1BFE">
        <w:rPr>
          <w:rFonts w:ascii="Arial" w:hAnsi="Arial" w:cs="Arial"/>
          <w:b/>
          <w:color w:val="0070C0"/>
          <w:sz w:val="20"/>
          <w:szCs w:val="20"/>
        </w:rPr>
        <w:t>Enhancing cooperation with communities and wider partners</w:t>
      </w:r>
    </w:p>
    <w:p w:rsidR="0077627C" w:rsidRPr="009167F9" w:rsidRDefault="0077627C" w:rsidP="0077627C">
      <w:pPr>
        <w:pBdr>
          <w:top w:val="nil"/>
          <w:left w:val="nil"/>
          <w:bottom w:val="nil"/>
          <w:right w:val="nil"/>
          <w:between w:val="nil"/>
          <w:bar w:val="nil"/>
        </w:pBdr>
        <w:tabs>
          <w:tab w:val="num" w:pos="720"/>
        </w:tabs>
        <w:spacing w:after="0"/>
        <w:contextualSpacing/>
        <w:rPr>
          <w:rFonts w:ascii="Arial" w:hAnsi="Arial" w:cs="Arial"/>
          <w:sz w:val="20"/>
          <w:szCs w:val="20"/>
        </w:rPr>
      </w:pPr>
      <w:r w:rsidRPr="009167F9">
        <w:rPr>
          <w:rFonts w:ascii="Arial" w:hAnsi="Arial" w:cs="Arial"/>
          <w:bCs/>
          <w:sz w:val="20"/>
          <w:szCs w:val="20"/>
        </w:rPr>
        <w:t xml:space="preserve">Learning institutions should not be viewed as an island but as an integral part of the local community, including civil society and the business sector. Authorities at various levels need to promote the development of sustainable mechanisms that ensure that a spectrum of stakeholders </w:t>
      </w:r>
      <w:r w:rsidR="00A26900">
        <w:rPr>
          <w:rFonts w:ascii="Arial" w:hAnsi="Arial" w:cs="Arial"/>
          <w:bCs/>
          <w:sz w:val="20"/>
          <w:szCs w:val="20"/>
        </w:rPr>
        <w:t xml:space="preserve">is </w:t>
      </w:r>
      <w:r w:rsidRPr="009167F9">
        <w:rPr>
          <w:rFonts w:ascii="Arial" w:hAnsi="Arial" w:cs="Arial"/>
          <w:bCs/>
          <w:sz w:val="20"/>
          <w:szCs w:val="20"/>
        </w:rPr>
        <w:t>actively engage</w:t>
      </w:r>
      <w:r w:rsidR="00A26900">
        <w:rPr>
          <w:rFonts w:ascii="Arial" w:hAnsi="Arial" w:cs="Arial"/>
          <w:bCs/>
          <w:sz w:val="20"/>
          <w:szCs w:val="20"/>
        </w:rPr>
        <w:t>d</w:t>
      </w:r>
      <w:r w:rsidRPr="009167F9">
        <w:rPr>
          <w:rFonts w:ascii="Arial" w:hAnsi="Arial" w:cs="Arial"/>
          <w:bCs/>
          <w:sz w:val="20"/>
          <w:szCs w:val="20"/>
        </w:rPr>
        <w:t xml:space="preserve"> with educational institutions. Cooperation, partnerships and synergies between all relevant actors provide powerful leverage for the effective development and implementation of strategies to promote diversity and inclusiveness in education and training. Relevant actors include families of learners, different local communities including migrant or minority groups, civil society organisations (NGOs, religion and belief organisations, media, social partners, refugee organisations, etc.), </w:t>
      </w:r>
      <w:r>
        <w:rPr>
          <w:rFonts w:ascii="Arial" w:hAnsi="Arial" w:cs="Arial"/>
          <w:bCs/>
          <w:sz w:val="20"/>
          <w:szCs w:val="20"/>
        </w:rPr>
        <w:t xml:space="preserve">youth organisations, </w:t>
      </w:r>
      <w:r w:rsidRPr="009167F9">
        <w:rPr>
          <w:rFonts w:ascii="Arial" w:hAnsi="Arial" w:cs="Arial"/>
          <w:bCs/>
          <w:sz w:val="20"/>
          <w:szCs w:val="20"/>
        </w:rPr>
        <w:t>other learning institutions</w:t>
      </w:r>
      <w:r w:rsidR="00A26900">
        <w:rPr>
          <w:rFonts w:ascii="Arial" w:hAnsi="Arial" w:cs="Arial"/>
          <w:bCs/>
          <w:sz w:val="20"/>
          <w:szCs w:val="20"/>
        </w:rPr>
        <w:t>,</w:t>
      </w:r>
      <w:r w:rsidRPr="009167F9">
        <w:rPr>
          <w:rFonts w:ascii="Arial" w:hAnsi="Arial" w:cs="Arial"/>
          <w:bCs/>
          <w:sz w:val="20"/>
          <w:szCs w:val="20"/>
        </w:rPr>
        <w:t xml:space="preserve"> municipalities</w:t>
      </w:r>
      <w:r w:rsidR="00A26900">
        <w:rPr>
          <w:rFonts w:ascii="Arial" w:hAnsi="Arial" w:cs="Arial"/>
          <w:bCs/>
          <w:sz w:val="20"/>
          <w:szCs w:val="20"/>
        </w:rPr>
        <w:t xml:space="preserve"> or local authorities</w:t>
      </w:r>
      <w:r w:rsidRPr="009167F9">
        <w:rPr>
          <w:rFonts w:ascii="Arial" w:hAnsi="Arial" w:cs="Arial"/>
          <w:bCs/>
          <w:sz w:val="20"/>
          <w:szCs w:val="20"/>
        </w:rPr>
        <w:t>.</w:t>
      </w:r>
    </w:p>
    <w:p w:rsidR="0077627C" w:rsidRPr="009167F9" w:rsidRDefault="0077627C" w:rsidP="0077627C">
      <w:pPr>
        <w:keepNext/>
        <w:widowControl w:val="0"/>
        <w:pBdr>
          <w:top w:val="nil"/>
          <w:left w:val="nil"/>
          <w:bottom w:val="nil"/>
          <w:right w:val="nil"/>
          <w:between w:val="nil"/>
          <w:bar w:val="nil"/>
        </w:pBdr>
        <w:spacing w:after="0"/>
        <w:rPr>
          <w:rFonts w:ascii="Arial" w:hAnsi="Arial" w:cs="Arial"/>
          <w:b/>
          <w:sz w:val="20"/>
          <w:szCs w:val="20"/>
        </w:rPr>
      </w:pPr>
    </w:p>
    <w:tbl>
      <w:tblPr>
        <w:tblStyle w:val="TableGrid"/>
        <w:tblW w:w="0" w:type="auto"/>
        <w:tblLook w:val="04A0" w:firstRow="1" w:lastRow="0" w:firstColumn="1" w:lastColumn="0" w:noHBand="0" w:noVBand="1"/>
      </w:tblPr>
      <w:tblGrid>
        <w:gridCol w:w="538"/>
        <w:gridCol w:w="6384"/>
        <w:gridCol w:w="2082"/>
      </w:tblGrid>
      <w:tr w:rsidR="0077627C" w:rsidRPr="009167F9" w:rsidTr="00835443">
        <w:trPr>
          <w:cnfStyle w:val="100000000000" w:firstRow="1" w:lastRow="0" w:firstColumn="0" w:lastColumn="0" w:oddVBand="0" w:evenVBand="0" w:oddHBand="0" w:evenHBand="0" w:firstRowFirstColumn="0" w:firstRowLastColumn="0" w:lastRowFirstColumn="0" w:lastRowLastColumn="0"/>
        </w:trPr>
        <w:tc>
          <w:tcPr>
            <w:tcW w:w="539" w:type="dxa"/>
            <w:shd w:val="clear" w:color="auto" w:fill="548DD4" w:themeFill="text2" w:themeFillTint="99"/>
          </w:tcPr>
          <w:p w:rsidR="0077627C" w:rsidRPr="0077627C" w:rsidRDefault="0077627C" w:rsidP="00835443">
            <w:pPr>
              <w:contextualSpacing/>
              <w:jc w:val="center"/>
              <w:rPr>
                <w:rFonts w:ascii="Arial" w:hAnsi="Arial" w:cs="Arial"/>
                <w:b/>
                <w:color w:val="FFFFFF" w:themeColor="background1"/>
                <w:sz w:val="20"/>
                <w:szCs w:val="20"/>
                <w:lang w:val="en-GB"/>
              </w:rPr>
            </w:pPr>
          </w:p>
        </w:tc>
        <w:tc>
          <w:tcPr>
            <w:tcW w:w="6434" w:type="dxa"/>
            <w:shd w:val="clear" w:color="auto" w:fill="548DD4" w:themeFill="text2" w:themeFillTint="99"/>
          </w:tcPr>
          <w:p w:rsidR="0077627C" w:rsidRPr="009167F9" w:rsidRDefault="0077627C" w:rsidP="00835443">
            <w:pPr>
              <w:contextualSpacing/>
              <w:jc w:val="center"/>
              <w:rPr>
                <w:rFonts w:ascii="Arial" w:hAnsi="Arial" w:cs="Arial"/>
                <w:b/>
                <w:color w:val="FFFFFF" w:themeColor="background1"/>
                <w:sz w:val="20"/>
                <w:szCs w:val="20"/>
              </w:rPr>
            </w:pPr>
            <w:r w:rsidRPr="009167F9">
              <w:rPr>
                <w:rFonts w:ascii="Arial" w:hAnsi="Arial" w:cs="Arial"/>
                <w:b/>
                <w:color w:val="FFFFFF" w:themeColor="background1"/>
                <w:sz w:val="20"/>
                <w:szCs w:val="20"/>
              </w:rPr>
              <w:t>Key message</w:t>
            </w:r>
          </w:p>
        </w:tc>
        <w:tc>
          <w:tcPr>
            <w:tcW w:w="2089" w:type="dxa"/>
            <w:shd w:val="clear" w:color="auto" w:fill="548DD4" w:themeFill="text2" w:themeFillTint="99"/>
          </w:tcPr>
          <w:p w:rsidR="0077627C" w:rsidRPr="009167F9" w:rsidRDefault="0077627C" w:rsidP="00835443">
            <w:pPr>
              <w:contextualSpacing/>
              <w:jc w:val="center"/>
              <w:rPr>
                <w:rFonts w:ascii="Arial" w:hAnsi="Arial" w:cs="Arial"/>
                <w:b/>
                <w:color w:val="FFFFFF" w:themeColor="background1"/>
                <w:sz w:val="20"/>
                <w:szCs w:val="20"/>
              </w:rPr>
            </w:pPr>
            <w:r w:rsidRPr="009167F9">
              <w:rPr>
                <w:rFonts w:ascii="Arial" w:hAnsi="Arial" w:cs="Arial"/>
                <w:b/>
                <w:color w:val="FFFFFF" w:themeColor="background1"/>
                <w:sz w:val="20"/>
                <w:szCs w:val="20"/>
              </w:rPr>
              <w:t>Target groups</w:t>
            </w:r>
          </w:p>
        </w:tc>
      </w:tr>
      <w:tr w:rsidR="0077627C" w:rsidRPr="009167F9" w:rsidTr="00835443">
        <w:tc>
          <w:tcPr>
            <w:tcW w:w="539" w:type="dxa"/>
            <w:vAlign w:val="center"/>
          </w:tcPr>
          <w:p w:rsidR="0077627C" w:rsidRPr="009167F9" w:rsidRDefault="0077627C" w:rsidP="00835443">
            <w:pPr>
              <w:rPr>
                <w:rFonts w:ascii="Arial" w:hAnsi="Arial" w:cs="Arial"/>
                <w:spacing w:val="4"/>
                <w:sz w:val="20"/>
                <w:szCs w:val="20"/>
              </w:rPr>
            </w:pPr>
            <w:r w:rsidRPr="009167F9">
              <w:rPr>
                <w:rFonts w:ascii="Arial" w:hAnsi="Arial" w:cs="Arial"/>
                <w:spacing w:val="4"/>
                <w:sz w:val="20"/>
                <w:szCs w:val="20"/>
              </w:rPr>
              <w:t>(a)</w:t>
            </w:r>
          </w:p>
        </w:tc>
        <w:tc>
          <w:tcPr>
            <w:tcW w:w="6434"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z w:val="20"/>
                <w:szCs w:val="20"/>
                <w:lang w:val="en-GB"/>
              </w:rPr>
              <w:t xml:space="preserve">Learning institutions should become an integral part of the local community and help foster closer cooperation with civil society, youth organisations, local authorities and the business sector. This requires a clear strategy with an appropriate implementation mechanism </w:t>
            </w:r>
            <w:r w:rsidRPr="0077627C">
              <w:rPr>
                <w:rFonts w:ascii="Arial" w:hAnsi="Arial" w:cs="Arial"/>
                <w:sz w:val="20"/>
                <w:szCs w:val="20"/>
                <w:lang w:val="en-GB"/>
              </w:rPr>
              <w:lastRenderedPageBreak/>
              <w:t>developed at local level, paying particular attention to the engagement with families from all communities.</w:t>
            </w:r>
          </w:p>
        </w:tc>
        <w:tc>
          <w:tcPr>
            <w:tcW w:w="2089" w:type="dxa"/>
            <w:vAlign w:val="center"/>
          </w:tcPr>
          <w:p w:rsidR="0077627C" w:rsidRPr="0077627C" w:rsidRDefault="0077627C" w:rsidP="00835443">
            <w:pPr>
              <w:spacing w:before="120"/>
              <w:contextualSpacing/>
              <w:rPr>
                <w:rFonts w:ascii="Arial" w:hAnsi="Arial" w:cs="Arial"/>
                <w:sz w:val="20"/>
                <w:szCs w:val="20"/>
                <w:lang w:val="en-GB"/>
              </w:rPr>
            </w:pPr>
            <w:r w:rsidRPr="0077627C">
              <w:rPr>
                <w:rFonts w:ascii="Arial" w:hAnsi="Arial" w:cs="Arial"/>
                <w:sz w:val="20"/>
                <w:szCs w:val="20"/>
                <w:lang w:val="en-GB"/>
              </w:rPr>
              <w:lastRenderedPageBreak/>
              <w:t>Policymakers</w:t>
            </w:r>
          </w:p>
          <w:p w:rsidR="0077627C" w:rsidRPr="0077627C" w:rsidRDefault="0077627C" w:rsidP="00835443">
            <w:pPr>
              <w:spacing w:before="120"/>
              <w:contextualSpacing/>
              <w:rPr>
                <w:rFonts w:ascii="Arial" w:hAnsi="Arial" w:cs="Arial"/>
                <w:sz w:val="20"/>
                <w:szCs w:val="20"/>
                <w:lang w:val="en-GB"/>
              </w:rPr>
            </w:pPr>
            <w:r w:rsidRPr="0077627C">
              <w:rPr>
                <w:rFonts w:ascii="Arial" w:hAnsi="Arial" w:cs="Arial"/>
                <w:sz w:val="20"/>
                <w:szCs w:val="20"/>
                <w:lang w:val="en-GB"/>
              </w:rPr>
              <w:t>School management</w:t>
            </w:r>
          </w:p>
          <w:p w:rsidR="0077627C" w:rsidRPr="0077627C" w:rsidRDefault="0077627C" w:rsidP="00835443">
            <w:pPr>
              <w:spacing w:before="120"/>
              <w:contextualSpacing/>
              <w:rPr>
                <w:rFonts w:ascii="Arial" w:hAnsi="Arial" w:cs="Arial"/>
                <w:sz w:val="20"/>
                <w:szCs w:val="20"/>
                <w:lang w:val="en-GB"/>
              </w:rPr>
            </w:pPr>
            <w:r w:rsidRPr="0077627C">
              <w:rPr>
                <w:rFonts w:ascii="Arial" w:hAnsi="Arial" w:cs="Arial"/>
                <w:sz w:val="20"/>
                <w:szCs w:val="20"/>
                <w:lang w:val="en-GB"/>
              </w:rPr>
              <w:t>Non-formal sector</w:t>
            </w:r>
          </w:p>
        </w:tc>
      </w:tr>
      <w:tr w:rsidR="0077627C" w:rsidRPr="009167F9" w:rsidTr="00835443">
        <w:tc>
          <w:tcPr>
            <w:tcW w:w="539" w:type="dxa"/>
            <w:vAlign w:val="center"/>
          </w:tcPr>
          <w:p w:rsidR="0077627C" w:rsidRPr="009167F9" w:rsidRDefault="0077627C" w:rsidP="00835443">
            <w:pPr>
              <w:contextualSpacing/>
              <w:rPr>
                <w:rFonts w:ascii="Arial" w:hAnsi="Arial" w:cs="Arial"/>
                <w:sz w:val="20"/>
                <w:szCs w:val="20"/>
              </w:rPr>
            </w:pPr>
            <w:r w:rsidRPr="009167F9">
              <w:rPr>
                <w:rFonts w:ascii="Arial" w:hAnsi="Arial" w:cs="Arial"/>
                <w:sz w:val="20"/>
                <w:szCs w:val="20"/>
              </w:rPr>
              <w:t>(b)</w:t>
            </w:r>
          </w:p>
        </w:tc>
        <w:tc>
          <w:tcPr>
            <w:tcW w:w="6434" w:type="dxa"/>
          </w:tcPr>
          <w:p w:rsidR="0077627C" w:rsidRPr="0077627C" w:rsidRDefault="0077627C" w:rsidP="00835443">
            <w:pPr>
              <w:spacing w:before="120" w:line="276" w:lineRule="auto"/>
              <w:rPr>
                <w:rFonts w:ascii="Arial" w:hAnsi="Arial" w:cs="Arial"/>
                <w:sz w:val="20"/>
                <w:szCs w:val="20"/>
                <w:lang w:val="en-GB"/>
              </w:rPr>
            </w:pPr>
            <w:r w:rsidRPr="0077627C">
              <w:rPr>
                <w:rFonts w:ascii="Arial" w:hAnsi="Arial" w:cs="Arial"/>
                <w:sz w:val="20"/>
                <w:szCs w:val="20"/>
                <w:lang w:val="en-GB"/>
              </w:rPr>
              <w:t>Participation in extracurricular and cultural activities should be encouraged and made accessible to all, in particular learners from underserved</w:t>
            </w:r>
            <w:r w:rsidR="004D549E">
              <w:rPr>
                <w:rFonts w:ascii="Arial" w:hAnsi="Arial" w:cs="Arial"/>
                <w:sz w:val="20"/>
                <w:szCs w:val="20"/>
                <w:lang w:val="en-GB"/>
              </w:rPr>
              <w:t xml:space="preserve"> or disadvantaged</w:t>
            </w:r>
            <w:r w:rsidRPr="0077627C">
              <w:rPr>
                <w:rFonts w:ascii="Arial" w:hAnsi="Arial" w:cs="Arial"/>
                <w:sz w:val="20"/>
                <w:szCs w:val="20"/>
                <w:lang w:val="en-GB"/>
              </w:rPr>
              <w:t xml:space="preserve"> communities. </w:t>
            </w:r>
          </w:p>
        </w:tc>
        <w:tc>
          <w:tcPr>
            <w:tcW w:w="2089" w:type="dxa"/>
            <w:vAlign w:val="center"/>
          </w:tcPr>
          <w:p w:rsidR="0077627C" w:rsidRPr="0077627C" w:rsidRDefault="0077627C" w:rsidP="00835443">
            <w:pPr>
              <w:spacing w:before="120"/>
              <w:contextualSpacing/>
              <w:rPr>
                <w:rFonts w:ascii="Arial" w:hAnsi="Arial" w:cs="Arial"/>
                <w:sz w:val="20"/>
                <w:szCs w:val="20"/>
                <w:lang w:val="en-GB"/>
              </w:rPr>
            </w:pPr>
            <w:r w:rsidRPr="0077627C">
              <w:rPr>
                <w:rFonts w:ascii="Arial" w:hAnsi="Arial" w:cs="Arial"/>
                <w:sz w:val="20"/>
                <w:szCs w:val="20"/>
                <w:lang w:val="en-GB"/>
              </w:rPr>
              <w:t>Policymakers</w:t>
            </w:r>
          </w:p>
          <w:p w:rsidR="0077627C" w:rsidRPr="0077627C" w:rsidRDefault="0077627C" w:rsidP="00835443">
            <w:pPr>
              <w:spacing w:before="120"/>
              <w:contextualSpacing/>
              <w:rPr>
                <w:rFonts w:ascii="Arial" w:hAnsi="Arial" w:cs="Arial"/>
                <w:sz w:val="20"/>
                <w:szCs w:val="20"/>
                <w:lang w:val="en-GB"/>
              </w:rPr>
            </w:pPr>
            <w:r w:rsidRPr="0077627C">
              <w:rPr>
                <w:rFonts w:ascii="Arial" w:hAnsi="Arial" w:cs="Arial"/>
                <w:sz w:val="20"/>
                <w:szCs w:val="20"/>
                <w:lang w:val="en-GB"/>
              </w:rPr>
              <w:t>School management</w:t>
            </w:r>
          </w:p>
          <w:p w:rsidR="0077627C" w:rsidRPr="0077627C" w:rsidRDefault="0077627C" w:rsidP="00835443">
            <w:pPr>
              <w:spacing w:before="120"/>
              <w:contextualSpacing/>
              <w:rPr>
                <w:rFonts w:ascii="Arial" w:hAnsi="Arial" w:cs="Arial"/>
                <w:sz w:val="20"/>
                <w:szCs w:val="20"/>
                <w:lang w:val="en-GB"/>
              </w:rPr>
            </w:pPr>
            <w:r w:rsidRPr="0077627C">
              <w:rPr>
                <w:rFonts w:ascii="Arial" w:hAnsi="Arial" w:cs="Arial"/>
                <w:sz w:val="20"/>
                <w:szCs w:val="20"/>
                <w:lang w:val="en-GB"/>
              </w:rPr>
              <w:t>Non-formal sector</w:t>
            </w:r>
          </w:p>
        </w:tc>
      </w:tr>
      <w:tr w:rsidR="0077627C" w:rsidRPr="009167F9" w:rsidTr="00835443">
        <w:tc>
          <w:tcPr>
            <w:tcW w:w="539" w:type="dxa"/>
            <w:vAlign w:val="center"/>
          </w:tcPr>
          <w:p w:rsidR="0077627C" w:rsidRPr="009167F9" w:rsidRDefault="0077627C" w:rsidP="00835443">
            <w:pPr>
              <w:contextualSpacing/>
              <w:rPr>
                <w:rFonts w:ascii="Arial" w:hAnsi="Arial" w:cs="Arial"/>
                <w:sz w:val="20"/>
                <w:szCs w:val="20"/>
              </w:rPr>
            </w:pPr>
            <w:r w:rsidRPr="009167F9">
              <w:rPr>
                <w:rFonts w:ascii="Arial" w:hAnsi="Arial" w:cs="Arial"/>
                <w:sz w:val="20"/>
                <w:szCs w:val="20"/>
              </w:rPr>
              <w:t>(c)</w:t>
            </w:r>
          </w:p>
        </w:tc>
        <w:tc>
          <w:tcPr>
            <w:tcW w:w="6434" w:type="dxa"/>
          </w:tcPr>
          <w:p w:rsidR="0077627C" w:rsidRPr="0077627C" w:rsidRDefault="0077627C" w:rsidP="00835443">
            <w:pPr>
              <w:spacing w:before="120" w:line="276" w:lineRule="auto"/>
              <w:rPr>
                <w:rFonts w:ascii="Arial" w:hAnsi="Arial" w:cs="Arial"/>
                <w:sz w:val="20"/>
                <w:szCs w:val="20"/>
                <w:lang w:val="en-GB"/>
              </w:rPr>
            </w:pPr>
            <w:r w:rsidRPr="0077627C">
              <w:rPr>
                <w:rFonts w:ascii="Arial" w:hAnsi="Arial" w:cs="Arial"/>
                <w:sz w:val="20"/>
                <w:szCs w:val="20"/>
                <w:lang w:val="en-GB"/>
              </w:rPr>
              <w:t>Close cooperation with families - including through mediators, feedback mechanism or involvement in school governance - can help bridge the gap between learning institutions and learners’ home environment.</w:t>
            </w:r>
          </w:p>
        </w:tc>
        <w:tc>
          <w:tcPr>
            <w:tcW w:w="2089" w:type="dxa"/>
            <w:vAlign w:val="center"/>
          </w:tcPr>
          <w:p w:rsidR="0077627C" w:rsidRPr="0077627C" w:rsidRDefault="0077627C" w:rsidP="00835443">
            <w:pPr>
              <w:spacing w:before="120"/>
              <w:contextualSpacing/>
              <w:rPr>
                <w:rFonts w:ascii="Arial" w:hAnsi="Arial" w:cs="Arial"/>
                <w:sz w:val="20"/>
                <w:szCs w:val="20"/>
                <w:lang w:val="en-GB"/>
              </w:rPr>
            </w:pPr>
            <w:r w:rsidRPr="0077627C">
              <w:rPr>
                <w:rFonts w:ascii="Arial" w:hAnsi="Arial" w:cs="Arial"/>
                <w:sz w:val="20"/>
                <w:szCs w:val="20"/>
                <w:lang w:val="en-GB"/>
              </w:rPr>
              <w:t>Policymakers</w:t>
            </w:r>
          </w:p>
          <w:p w:rsidR="0077627C" w:rsidRPr="0077627C" w:rsidRDefault="0077627C" w:rsidP="00835443">
            <w:pPr>
              <w:spacing w:before="120"/>
              <w:contextualSpacing/>
              <w:rPr>
                <w:rFonts w:ascii="Arial" w:hAnsi="Arial" w:cs="Arial"/>
                <w:sz w:val="20"/>
                <w:szCs w:val="20"/>
                <w:lang w:val="en-GB"/>
              </w:rPr>
            </w:pPr>
            <w:r w:rsidRPr="0077627C">
              <w:rPr>
                <w:rFonts w:ascii="Arial" w:hAnsi="Arial" w:cs="Arial"/>
                <w:sz w:val="20"/>
                <w:szCs w:val="20"/>
                <w:lang w:val="en-GB"/>
              </w:rPr>
              <w:t>School management</w:t>
            </w:r>
          </w:p>
          <w:p w:rsidR="0077627C" w:rsidRPr="0077627C" w:rsidRDefault="0077627C" w:rsidP="00835443">
            <w:pPr>
              <w:spacing w:before="120"/>
              <w:contextualSpacing/>
              <w:rPr>
                <w:rFonts w:ascii="Arial" w:hAnsi="Arial" w:cs="Arial"/>
                <w:sz w:val="20"/>
                <w:szCs w:val="20"/>
                <w:lang w:val="en-GB"/>
              </w:rPr>
            </w:pPr>
            <w:r w:rsidRPr="0077627C">
              <w:rPr>
                <w:rFonts w:ascii="Arial" w:hAnsi="Arial" w:cs="Arial"/>
                <w:sz w:val="20"/>
                <w:szCs w:val="20"/>
                <w:lang w:val="en-GB"/>
              </w:rPr>
              <w:t>Non-formal sector</w:t>
            </w:r>
          </w:p>
        </w:tc>
      </w:tr>
      <w:tr w:rsidR="0077627C" w:rsidRPr="009167F9" w:rsidTr="00835443">
        <w:tc>
          <w:tcPr>
            <w:tcW w:w="539" w:type="dxa"/>
            <w:vAlign w:val="center"/>
          </w:tcPr>
          <w:p w:rsidR="0077627C" w:rsidRPr="009167F9" w:rsidRDefault="0077627C" w:rsidP="00835443">
            <w:pPr>
              <w:contextualSpacing/>
              <w:rPr>
                <w:rFonts w:ascii="Arial" w:hAnsi="Arial" w:cs="Arial"/>
                <w:sz w:val="20"/>
                <w:szCs w:val="20"/>
              </w:rPr>
            </w:pPr>
            <w:r w:rsidRPr="009167F9">
              <w:rPr>
                <w:rFonts w:ascii="Arial" w:hAnsi="Arial" w:cs="Arial"/>
                <w:sz w:val="20"/>
                <w:szCs w:val="20"/>
              </w:rPr>
              <w:t>(d)</w:t>
            </w:r>
          </w:p>
        </w:tc>
        <w:tc>
          <w:tcPr>
            <w:tcW w:w="6434" w:type="dxa"/>
          </w:tcPr>
          <w:p w:rsidR="0077627C" w:rsidRPr="0077627C" w:rsidRDefault="0077627C" w:rsidP="00835443">
            <w:pPr>
              <w:spacing w:before="120" w:line="276" w:lineRule="auto"/>
              <w:rPr>
                <w:rFonts w:ascii="Arial" w:hAnsi="Arial" w:cs="Arial"/>
                <w:sz w:val="20"/>
                <w:szCs w:val="20"/>
                <w:lang w:val="en-GB"/>
              </w:rPr>
            </w:pPr>
            <w:r w:rsidRPr="0077627C">
              <w:rPr>
                <w:rFonts w:ascii="Arial" w:hAnsi="Arial" w:cs="Arial"/>
                <w:sz w:val="20"/>
                <w:szCs w:val="20"/>
                <w:lang w:val="en-GB"/>
              </w:rPr>
              <w:t xml:space="preserve">The participation of teaching staff and students in volunteering and civic engagement should be encouraged and incentivised. In higher education for example, the involvement of </w:t>
            </w:r>
            <w:r w:rsidR="00E062CA">
              <w:rPr>
                <w:rFonts w:ascii="Arial" w:hAnsi="Arial" w:cs="Arial"/>
                <w:sz w:val="20"/>
                <w:szCs w:val="20"/>
                <w:lang w:val="en-GB"/>
              </w:rPr>
              <w:t>learner</w:t>
            </w:r>
            <w:r w:rsidRPr="0077627C">
              <w:rPr>
                <w:rFonts w:ascii="Arial" w:hAnsi="Arial" w:cs="Arial"/>
                <w:sz w:val="20"/>
                <w:szCs w:val="20"/>
                <w:lang w:val="en-GB"/>
              </w:rPr>
              <w:t xml:space="preserve">s in civic activities can be recognised through the allocation of ECTS points. </w:t>
            </w:r>
          </w:p>
        </w:tc>
        <w:tc>
          <w:tcPr>
            <w:tcW w:w="2089" w:type="dxa"/>
            <w:vAlign w:val="center"/>
          </w:tcPr>
          <w:p w:rsidR="0077627C" w:rsidRPr="009167F9" w:rsidRDefault="0077627C" w:rsidP="00835443">
            <w:pPr>
              <w:spacing w:before="120"/>
              <w:contextualSpacing/>
              <w:rPr>
                <w:rFonts w:ascii="Arial" w:hAnsi="Arial" w:cs="Arial"/>
                <w:sz w:val="20"/>
                <w:szCs w:val="20"/>
              </w:rPr>
            </w:pPr>
            <w:r w:rsidRPr="009167F9">
              <w:rPr>
                <w:rFonts w:ascii="Arial" w:hAnsi="Arial" w:cs="Arial"/>
                <w:sz w:val="20"/>
                <w:szCs w:val="20"/>
              </w:rPr>
              <w:t>Policymakers</w:t>
            </w:r>
          </w:p>
          <w:p w:rsidR="0077627C" w:rsidRPr="009167F9" w:rsidRDefault="0077627C" w:rsidP="00835443">
            <w:pPr>
              <w:spacing w:before="120"/>
              <w:contextualSpacing/>
              <w:rPr>
                <w:rFonts w:ascii="Arial" w:hAnsi="Arial" w:cs="Arial"/>
                <w:sz w:val="20"/>
                <w:szCs w:val="20"/>
              </w:rPr>
            </w:pPr>
            <w:r w:rsidRPr="009167F9">
              <w:rPr>
                <w:rFonts w:ascii="Arial" w:hAnsi="Arial" w:cs="Arial"/>
                <w:sz w:val="20"/>
                <w:szCs w:val="20"/>
              </w:rPr>
              <w:t>School management</w:t>
            </w:r>
          </w:p>
        </w:tc>
      </w:tr>
    </w:tbl>
    <w:p w:rsidR="0077627C" w:rsidRPr="009167F9" w:rsidRDefault="0077627C" w:rsidP="0077627C">
      <w:pPr>
        <w:rPr>
          <w:rFonts w:ascii="Arial" w:hAnsi="Arial" w:cs="Arial"/>
          <w:sz w:val="20"/>
          <w:szCs w:val="20"/>
        </w:rPr>
      </w:pPr>
    </w:p>
    <w:p w:rsidR="0077627C" w:rsidRDefault="0077627C" w:rsidP="0077627C">
      <w:pPr>
        <w:rPr>
          <w:rFonts w:ascii="Arial" w:hAnsi="Arial" w:cs="Arial"/>
          <w:b/>
          <w:i/>
          <w:color w:val="0070C0"/>
          <w:sz w:val="20"/>
          <w:szCs w:val="20"/>
        </w:rPr>
      </w:pPr>
      <w:r>
        <w:rPr>
          <w:rFonts w:ascii="Arial" w:hAnsi="Arial" w:cs="Arial"/>
          <w:b/>
          <w:i/>
          <w:color w:val="0070C0"/>
          <w:sz w:val="20"/>
          <w:szCs w:val="20"/>
        </w:rPr>
        <w:t>Examples</w:t>
      </w:r>
    </w:p>
    <w:p w:rsidR="0077627C" w:rsidRPr="006E7ABA" w:rsidRDefault="0077627C" w:rsidP="0077627C">
      <w:pPr>
        <w:pStyle w:val="Default"/>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Arial" w:hAnsi="Arial" w:cs="Arial"/>
          <w:b/>
          <w:bCs/>
          <w:color w:val="auto"/>
          <w:sz w:val="20"/>
          <w:szCs w:val="20"/>
          <w:lang w:val="en-GB"/>
        </w:rPr>
      </w:pPr>
      <w:r w:rsidRPr="006E7ABA">
        <w:rPr>
          <w:rFonts w:ascii="Arial" w:hAnsi="Arial" w:cs="Arial"/>
          <w:b/>
          <w:bCs/>
          <w:color w:val="auto"/>
          <w:sz w:val="20"/>
          <w:szCs w:val="20"/>
          <w:lang w:val="en-GB"/>
        </w:rPr>
        <w:t>Philharmonie de Paris – Music as a tool for inclusive and intercultural education - France</w:t>
      </w:r>
    </w:p>
    <w:p w:rsidR="0077627C" w:rsidRPr="006E7ABA" w:rsidRDefault="0077627C" w:rsidP="0077627C">
      <w:pPr>
        <w:pStyle w:val="Default"/>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Arial" w:hAnsi="Arial" w:cs="Arial"/>
          <w:sz w:val="20"/>
          <w:szCs w:val="20"/>
          <w:lang w:val="en-US"/>
        </w:rPr>
      </w:pPr>
      <w:r w:rsidRPr="006E7ABA">
        <w:rPr>
          <w:rFonts w:ascii="Arial" w:hAnsi="Arial" w:cs="Arial"/>
          <w:sz w:val="20"/>
          <w:szCs w:val="20"/>
          <w:lang w:val="en-US"/>
        </w:rPr>
        <w:t>The Philharmonie de Paris works closely with the Ministry of Education and the Service for Newly-Arrived Migrants (CASNAV) in the Versailles educational district in order to provide teacher training and teaching resources to support the effective and sustainable inclusion of all learners, in particular those of migrant origin. The focus is on education and training through music and intercultural education. It carries out more than 90 teacher training courses per year, as well as a range of interventions and projects within schools and training institutions.</w:t>
      </w:r>
    </w:p>
    <w:p w:rsidR="0077627C" w:rsidRPr="006E7ABA" w:rsidRDefault="0077627C" w:rsidP="0077627C">
      <w:pPr>
        <w:pStyle w:val="Default"/>
        <w:spacing w:line="276" w:lineRule="auto"/>
        <w:jc w:val="both"/>
        <w:rPr>
          <w:rFonts w:ascii="Arial" w:hAnsi="Arial" w:cs="Arial"/>
          <w:sz w:val="20"/>
          <w:szCs w:val="20"/>
          <w:lang w:val="en-GB"/>
        </w:rPr>
      </w:pPr>
    </w:p>
    <w:p w:rsidR="0077627C" w:rsidRPr="006E7ABA" w:rsidRDefault="0077627C" w:rsidP="0077627C">
      <w:p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b/>
          <w:sz w:val="20"/>
          <w:szCs w:val="20"/>
        </w:rPr>
      </w:pPr>
      <w:r w:rsidRPr="006E7ABA">
        <w:rPr>
          <w:rFonts w:ascii="Arial" w:hAnsi="Arial" w:cs="Arial"/>
          <w:b/>
          <w:sz w:val="20"/>
          <w:szCs w:val="20"/>
        </w:rPr>
        <w:t xml:space="preserve">REEI Programme – Portugal </w:t>
      </w:r>
    </w:p>
    <w:p w:rsidR="0077627C" w:rsidRPr="006E7ABA" w:rsidRDefault="0077627C" w:rsidP="0077627C">
      <w:p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sz w:val="20"/>
          <w:szCs w:val="20"/>
        </w:rPr>
      </w:pPr>
      <w:r w:rsidRPr="006E7ABA">
        <w:rPr>
          <w:rFonts w:ascii="Arial" w:hAnsi="Arial" w:cs="Arial"/>
          <w:sz w:val="20"/>
          <w:szCs w:val="20"/>
        </w:rPr>
        <w:t>The REEI Programme - Network of Schools for Intercultural Education is a joint initiative of the High Commission for Migration, I.P. (ACM, I.P.), the Ministry of Education, through the Directorate-General for Education (DGE), and the Aga Khan Foundation (AKF). The Programme aims to (1) promote interculturality, the welcoming, integration and educational success of all children and young people aged 6-18; (2) foster respect for differences and the establishment of positive relationships; and (3) develop the approach among all membe</w:t>
      </w:r>
      <w:r>
        <w:rPr>
          <w:rFonts w:ascii="Arial" w:hAnsi="Arial" w:cs="Arial"/>
          <w:sz w:val="20"/>
          <w:szCs w:val="20"/>
        </w:rPr>
        <w:t>rs of the educational community. Parents and the community play a key role; the school is seen as a community resource and the community as a school resource.</w:t>
      </w:r>
    </w:p>
    <w:p w:rsidR="00406D06" w:rsidRDefault="00406D06" w:rsidP="00406D06">
      <w:pPr>
        <w:pStyle w:val="Default"/>
        <w:spacing w:line="276" w:lineRule="auto"/>
        <w:jc w:val="both"/>
        <w:rPr>
          <w:rFonts w:ascii="Arial" w:hAnsi="Arial" w:cs="Arial"/>
          <w:sz w:val="20"/>
          <w:szCs w:val="20"/>
          <w:highlight w:val="yellow"/>
          <w:lang w:val="en-GB"/>
        </w:rPr>
      </w:pPr>
    </w:p>
    <w:tbl>
      <w:tblPr>
        <w:tblW w:w="905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00" w:firstRow="0" w:lastRow="0" w:firstColumn="0" w:lastColumn="0" w:noHBand="0" w:noVBand="0"/>
      </w:tblPr>
      <w:tblGrid>
        <w:gridCol w:w="9050"/>
      </w:tblGrid>
      <w:tr w:rsidR="00406D06" w:rsidRPr="000003EF" w:rsidTr="000003EF">
        <w:trPr>
          <w:trHeight w:val="2630"/>
        </w:trPr>
        <w:tc>
          <w:tcPr>
            <w:tcW w:w="9050" w:type="dxa"/>
            <w:shd w:val="clear" w:color="auto" w:fill="DAEEF3" w:themeFill="accent5" w:themeFillTint="33"/>
          </w:tcPr>
          <w:p w:rsidR="005833F2" w:rsidRPr="000003EF" w:rsidRDefault="00406D06" w:rsidP="00406D06">
            <w:pPr>
              <w:pStyle w:val="Default"/>
              <w:spacing w:line="276" w:lineRule="auto"/>
              <w:ind w:left="119"/>
              <w:jc w:val="both"/>
              <w:rPr>
                <w:rFonts w:ascii="Arial" w:hAnsi="Arial" w:cs="Arial"/>
                <w:b/>
                <w:sz w:val="20"/>
                <w:szCs w:val="20"/>
                <w:lang w:val="en-US"/>
              </w:rPr>
            </w:pPr>
            <w:r w:rsidRPr="000003EF">
              <w:rPr>
                <w:rFonts w:ascii="Arial" w:hAnsi="Arial" w:cs="Arial"/>
                <w:b/>
                <w:sz w:val="20"/>
                <w:szCs w:val="20"/>
                <w:lang w:val="en-US"/>
              </w:rPr>
              <w:t>Refugee Education Coordinators (RECs)</w:t>
            </w:r>
            <w:r w:rsidR="005833F2" w:rsidRPr="000003EF">
              <w:rPr>
                <w:rFonts w:ascii="Arial" w:hAnsi="Arial" w:cs="Arial"/>
                <w:sz w:val="20"/>
                <w:szCs w:val="20"/>
                <w:lang w:val="en-US"/>
              </w:rPr>
              <w:t xml:space="preserve"> </w:t>
            </w:r>
            <w:r w:rsidR="005833F2" w:rsidRPr="000003EF">
              <w:rPr>
                <w:rFonts w:ascii="Arial" w:hAnsi="Arial" w:cs="Arial"/>
                <w:b/>
                <w:sz w:val="20"/>
                <w:szCs w:val="20"/>
                <w:lang w:val="en-US"/>
              </w:rPr>
              <w:t>– Greece</w:t>
            </w:r>
          </w:p>
          <w:p w:rsidR="00406D06" w:rsidRPr="000003EF" w:rsidRDefault="00E0452E" w:rsidP="004A0361">
            <w:pPr>
              <w:pStyle w:val="Default"/>
              <w:spacing w:line="276" w:lineRule="auto"/>
              <w:ind w:left="119"/>
              <w:jc w:val="both"/>
              <w:rPr>
                <w:rFonts w:ascii="Arial" w:hAnsi="Arial" w:cs="Arial"/>
                <w:sz w:val="20"/>
                <w:szCs w:val="20"/>
                <w:highlight w:val="yellow"/>
                <w:lang w:val="en-GB"/>
              </w:rPr>
            </w:pPr>
            <w:r w:rsidRPr="000003EF">
              <w:rPr>
                <w:rFonts w:ascii="Arial" w:hAnsi="Arial" w:cs="Arial"/>
                <w:sz w:val="20"/>
                <w:szCs w:val="20"/>
                <w:lang w:val="en-GB"/>
              </w:rPr>
              <w:t>The REC's are appointed by the Ministry of Education to be the liaison between Refugee Accommodation Centers (RACs) and Schools (Reception Facilities for Refugee Education (RFRE) -DYEP in Greek) to coordinate education actions held by NGO's and other bodies. The purpose is to get out of the designated school context to function as intermediaries and bring together the refugee population and the Greek educational system. Their duties include: Explanation of the operation terms of the Greek school to refugee parents and systematic communicate with parents and teachers; coordination of NGOs, and finding practical solutions to improve the educational operation of the camps. The Scientific Commission assess whether the contribution of RECs is decisive for the success of the integration.</w:t>
            </w:r>
          </w:p>
        </w:tc>
      </w:tr>
    </w:tbl>
    <w:p w:rsidR="0077627C" w:rsidRPr="002264E0" w:rsidRDefault="0077627C" w:rsidP="00406D06">
      <w:pPr>
        <w:pStyle w:val="Default"/>
        <w:spacing w:line="276" w:lineRule="auto"/>
        <w:jc w:val="center"/>
        <w:rPr>
          <w:rFonts w:ascii="Arial" w:hAnsi="Arial" w:cs="Arial"/>
          <w:sz w:val="20"/>
          <w:szCs w:val="20"/>
          <w:lang w:val="en-US"/>
        </w:rPr>
      </w:pPr>
    </w:p>
    <w:p w:rsidR="0077627C" w:rsidRPr="009167F9" w:rsidRDefault="0077627C" w:rsidP="0077627C">
      <w:pPr>
        <w:pBdr>
          <w:top w:val="nil"/>
          <w:left w:val="nil"/>
          <w:bottom w:val="nil"/>
          <w:right w:val="nil"/>
          <w:between w:val="nil"/>
          <w:bar w:val="nil"/>
        </w:pBdr>
        <w:spacing w:after="0"/>
        <w:contextualSpacing/>
        <w:rPr>
          <w:rFonts w:ascii="Arial" w:hAnsi="Arial" w:cs="Arial"/>
          <w:sz w:val="20"/>
          <w:szCs w:val="20"/>
        </w:rPr>
      </w:pPr>
    </w:p>
    <w:p w:rsidR="0077627C" w:rsidRPr="009167F9" w:rsidRDefault="0077627C" w:rsidP="0077627C">
      <w:pPr>
        <w:pStyle w:val="ListParagraph"/>
        <w:keepNext/>
        <w:widowControl w:val="0"/>
        <w:numPr>
          <w:ilvl w:val="0"/>
          <w:numId w:val="15"/>
        </w:numPr>
        <w:pBdr>
          <w:top w:val="nil"/>
          <w:left w:val="nil"/>
          <w:bottom w:val="nil"/>
          <w:right w:val="nil"/>
          <w:between w:val="nil"/>
          <w:bar w:val="nil"/>
        </w:pBdr>
        <w:spacing w:after="240" w:line="276" w:lineRule="auto"/>
        <w:contextualSpacing/>
        <w:rPr>
          <w:rFonts w:ascii="Arial" w:hAnsi="Arial" w:cs="Arial"/>
          <w:b/>
          <w:color w:val="0070C0"/>
          <w:sz w:val="20"/>
          <w:szCs w:val="20"/>
        </w:rPr>
      </w:pPr>
      <w:r w:rsidRPr="009167F9">
        <w:rPr>
          <w:rFonts w:ascii="Arial" w:hAnsi="Arial" w:cs="Arial"/>
          <w:b/>
          <w:color w:val="0070C0"/>
          <w:sz w:val="20"/>
          <w:szCs w:val="20"/>
        </w:rPr>
        <w:lastRenderedPageBreak/>
        <w:t>Promoting a lifelong learning approach</w:t>
      </w:r>
    </w:p>
    <w:p w:rsidR="0077627C" w:rsidRPr="009167F9" w:rsidRDefault="0077627C" w:rsidP="0077627C">
      <w:pPr>
        <w:keepNext/>
        <w:pBdr>
          <w:top w:val="nil"/>
          <w:left w:val="nil"/>
          <w:bottom w:val="nil"/>
          <w:right w:val="nil"/>
          <w:between w:val="nil"/>
          <w:bar w:val="nil"/>
        </w:pBdr>
        <w:spacing w:after="0"/>
        <w:contextualSpacing/>
        <w:rPr>
          <w:rFonts w:ascii="Arial" w:hAnsi="Arial" w:cs="Arial"/>
          <w:sz w:val="20"/>
          <w:szCs w:val="20"/>
        </w:rPr>
      </w:pPr>
      <w:r w:rsidRPr="009167F9">
        <w:rPr>
          <w:rFonts w:ascii="Arial" w:hAnsi="Arial" w:cs="Arial"/>
          <w:sz w:val="20"/>
          <w:szCs w:val="20"/>
        </w:rPr>
        <w:t xml:space="preserve">Ensuring inclusiveness and equity in education and training cannot work by focusing solely on one level or sector of education, or type of learning. In order to succeed, education and training systems need to adopt a lifelong learning approach, starting from early childhood education and care (ECEC), through the different levels and streams of secondary education, and moving into vocational education and training, tertiary education and adult learning in both the formal and non-formal sectors. It is essential to ensure fair access to – and seamless transitions between - all levels and types of education and training, for all learners. Many learners drop out at these transition points either as a result of structural barriers and dead ends in the education system, or due to the lack of adequate support. Fostering greater complementarity between formal, non-formal and informal learning </w:t>
      </w:r>
      <w:r>
        <w:rPr>
          <w:rFonts w:ascii="Arial" w:hAnsi="Arial" w:cs="Arial"/>
          <w:sz w:val="20"/>
          <w:szCs w:val="20"/>
        </w:rPr>
        <w:t>and the validation of learning outcomes gained through non-formal and in-formal learning</w:t>
      </w:r>
      <w:r>
        <w:rPr>
          <w:rStyle w:val="FootnoteReference"/>
          <w:rFonts w:ascii="Arial" w:hAnsi="Arial" w:cs="Arial"/>
          <w:sz w:val="20"/>
          <w:szCs w:val="20"/>
        </w:rPr>
        <w:footnoteReference w:id="15"/>
      </w:r>
      <w:r>
        <w:rPr>
          <w:rFonts w:ascii="Arial" w:hAnsi="Arial" w:cs="Arial"/>
          <w:sz w:val="20"/>
          <w:szCs w:val="20"/>
        </w:rPr>
        <w:t xml:space="preserve"> </w:t>
      </w:r>
      <w:r w:rsidRPr="009167F9">
        <w:rPr>
          <w:rFonts w:ascii="Arial" w:hAnsi="Arial" w:cs="Arial"/>
          <w:sz w:val="20"/>
          <w:szCs w:val="20"/>
        </w:rPr>
        <w:t>can also play an important role in fostering inclusiveness for all.</w:t>
      </w:r>
    </w:p>
    <w:p w:rsidR="0077627C" w:rsidRPr="009167F9" w:rsidRDefault="0077627C" w:rsidP="0077627C">
      <w:pPr>
        <w:pBdr>
          <w:top w:val="nil"/>
          <w:left w:val="nil"/>
          <w:bottom w:val="nil"/>
          <w:right w:val="nil"/>
          <w:between w:val="nil"/>
          <w:bar w:val="nil"/>
        </w:pBdr>
        <w:spacing w:after="0"/>
        <w:contextualSpacing/>
        <w:rPr>
          <w:rFonts w:ascii="Arial" w:hAnsi="Arial" w:cs="Arial"/>
          <w:i/>
          <w:sz w:val="20"/>
          <w:szCs w:val="20"/>
        </w:rPr>
      </w:pPr>
    </w:p>
    <w:tbl>
      <w:tblPr>
        <w:tblStyle w:val="TableGrid"/>
        <w:tblW w:w="0" w:type="auto"/>
        <w:tblLook w:val="04A0" w:firstRow="1" w:lastRow="0" w:firstColumn="1" w:lastColumn="0" w:noHBand="0" w:noVBand="1"/>
      </w:tblPr>
      <w:tblGrid>
        <w:gridCol w:w="538"/>
        <w:gridCol w:w="6384"/>
        <w:gridCol w:w="2082"/>
      </w:tblGrid>
      <w:tr w:rsidR="0077627C" w:rsidRPr="009167F9" w:rsidTr="00835443">
        <w:trPr>
          <w:cnfStyle w:val="100000000000" w:firstRow="1" w:lastRow="0" w:firstColumn="0" w:lastColumn="0" w:oddVBand="0" w:evenVBand="0" w:oddHBand="0" w:evenHBand="0" w:firstRowFirstColumn="0" w:firstRowLastColumn="0" w:lastRowFirstColumn="0" w:lastRowLastColumn="0"/>
        </w:trPr>
        <w:tc>
          <w:tcPr>
            <w:tcW w:w="539" w:type="dxa"/>
            <w:shd w:val="clear" w:color="auto" w:fill="548DD4" w:themeFill="text2" w:themeFillTint="99"/>
          </w:tcPr>
          <w:p w:rsidR="0077627C" w:rsidRPr="0077627C" w:rsidRDefault="0077627C" w:rsidP="00835443">
            <w:pPr>
              <w:contextualSpacing/>
              <w:jc w:val="center"/>
              <w:rPr>
                <w:rFonts w:ascii="Arial" w:hAnsi="Arial" w:cs="Arial"/>
                <w:b/>
                <w:color w:val="FFFFFF" w:themeColor="background1"/>
                <w:sz w:val="20"/>
                <w:szCs w:val="20"/>
                <w:lang w:val="en-GB"/>
              </w:rPr>
            </w:pPr>
          </w:p>
        </w:tc>
        <w:tc>
          <w:tcPr>
            <w:tcW w:w="6434" w:type="dxa"/>
            <w:shd w:val="clear" w:color="auto" w:fill="548DD4" w:themeFill="text2" w:themeFillTint="99"/>
          </w:tcPr>
          <w:p w:rsidR="0077627C" w:rsidRPr="009167F9" w:rsidRDefault="0077627C" w:rsidP="00835443">
            <w:pPr>
              <w:contextualSpacing/>
              <w:jc w:val="center"/>
              <w:rPr>
                <w:rFonts w:ascii="Arial" w:hAnsi="Arial" w:cs="Arial"/>
                <w:b/>
                <w:color w:val="FFFFFF" w:themeColor="background1"/>
                <w:sz w:val="20"/>
                <w:szCs w:val="20"/>
              </w:rPr>
            </w:pPr>
            <w:r w:rsidRPr="009167F9">
              <w:rPr>
                <w:rFonts w:ascii="Arial" w:hAnsi="Arial" w:cs="Arial"/>
                <w:b/>
                <w:color w:val="FFFFFF" w:themeColor="background1"/>
                <w:sz w:val="20"/>
                <w:szCs w:val="20"/>
              </w:rPr>
              <w:t>Key message</w:t>
            </w:r>
          </w:p>
        </w:tc>
        <w:tc>
          <w:tcPr>
            <w:tcW w:w="2089" w:type="dxa"/>
            <w:shd w:val="clear" w:color="auto" w:fill="548DD4" w:themeFill="text2" w:themeFillTint="99"/>
          </w:tcPr>
          <w:p w:rsidR="0077627C" w:rsidRPr="009167F9" w:rsidRDefault="0077627C" w:rsidP="00835443">
            <w:pPr>
              <w:contextualSpacing/>
              <w:jc w:val="center"/>
              <w:rPr>
                <w:rFonts w:ascii="Arial" w:hAnsi="Arial" w:cs="Arial"/>
                <w:b/>
                <w:color w:val="FFFFFF" w:themeColor="background1"/>
                <w:sz w:val="20"/>
                <w:szCs w:val="20"/>
              </w:rPr>
            </w:pPr>
            <w:r w:rsidRPr="009167F9">
              <w:rPr>
                <w:rFonts w:ascii="Arial" w:hAnsi="Arial" w:cs="Arial"/>
                <w:b/>
                <w:color w:val="FFFFFF" w:themeColor="background1"/>
                <w:sz w:val="20"/>
                <w:szCs w:val="20"/>
              </w:rPr>
              <w:t>Target groups</w:t>
            </w:r>
          </w:p>
        </w:tc>
      </w:tr>
      <w:tr w:rsidR="0077627C" w:rsidRPr="009167F9" w:rsidTr="00835443">
        <w:tc>
          <w:tcPr>
            <w:tcW w:w="539" w:type="dxa"/>
            <w:vAlign w:val="center"/>
          </w:tcPr>
          <w:p w:rsidR="0077627C" w:rsidRPr="009167F9" w:rsidRDefault="0077627C" w:rsidP="00835443">
            <w:pPr>
              <w:jc w:val="center"/>
              <w:rPr>
                <w:rFonts w:ascii="Arial" w:hAnsi="Arial" w:cs="Arial"/>
                <w:spacing w:val="4"/>
                <w:sz w:val="20"/>
                <w:szCs w:val="20"/>
              </w:rPr>
            </w:pPr>
            <w:r w:rsidRPr="009167F9">
              <w:rPr>
                <w:rFonts w:ascii="Arial" w:hAnsi="Arial" w:cs="Arial"/>
                <w:spacing w:val="4"/>
                <w:sz w:val="20"/>
                <w:szCs w:val="20"/>
              </w:rPr>
              <w:t>(a)</w:t>
            </w:r>
          </w:p>
        </w:tc>
        <w:tc>
          <w:tcPr>
            <w:tcW w:w="6434"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It is essential to promote access to good quality early childhood education and care (ECEC) for all, with a particular focus on children from disadvantaged backgrounds.</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(b)</w:t>
            </w:r>
          </w:p>
        </w:tc>
        <w:tc>
          <w:tcPr>
            <w:tcW w:w="6434" w:type="dxa"/>
          </w:tcPr>
          <w:p w:rsidR="0077627C" w:rsidRPr="0077627C" w:rsidRDefault="0077627C" w:rsidP="00835443">
            <w:pPr>
              <w:spacing w:before="120" w:line="276" w:lineRule="auto"/>
              <w:rPr>
                <w:rFonts w:ascii="Arial" w:hAnsi="Arial" w:cs="Arial"/>
                <w:sz w:val="20"/>
                <w:szCs w:val="20"/>
                <w:lang w:val="en-GB"/>
              </w:rPr>
            </w:pPr>
            <w:r w:rsidRPr="0077627C">
              <w:rPr>
                <w:rFonts w:ascii="Arial" w:hAnsi="Arial" w:cs="Arial"/>
                <w:spacing w:val="4"/>
                <w:sz w:val="20"/>
                <w:szCs w:val="20"/>
                <w:lang w:val="en-GB"/>
              </w:rPr>
              <w:t>Early diagnosis of learning difficulties and risk factors for early school leaving together with effective prevention, intervention and compensation measures, in line with the Council Recommendation on ESL</w:t>
            </w:r>
            <w:r w:rsidRPr="009167F9">
              <w:rPr>
                <w:rStyle w:val="FootnoteReference"/>
                <w:rFonts w:ascii="Arial" w:hAnsi="Arial" w:cs="Arial"/>
                <w:spacing w:val="4"/>
                <w:sz w:val="20"/>
                <w:szCs w:val="20"/>
              </w:rPr>
              <w:footnoteReference w:id="16"/>
            </w:r>
            <w:r w:rsidRPr="0077627C">
              <w:rPr>
                <w:rFonts w:ascii="Arial" w:hAnsi="Arial" w:cs="Arial"/>
                <w:spacing w:val="4"/>
                <w:sz w:val="20"/>
                <w:szCs w:val="20"/>
                <w:lang w:val="en-GB"/>
              </w:rPr>
              <w:t>, are crucial to provide all learners with the best chance to succeed. Targeted outreach strategies are needed to help early school leavers continue education, including through second chance schemes.</w:t>
            </w:r>
          </w:p>
        </w:tc>
        <w:tc>
          <w:tcPr>
            <w:tcW w:w="2089" w:type="dxa"/>
            <w:vAlign w:val="center"/>
          </w:tcPr>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Policymakers</w:t>
            </w:r>
          </w:p>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School management</w:t>
            </w:r>
          </w:p>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Teachers</w:t>
            </w:r>
          </w:p>
          <w:p w:rsidR="0077627C" w:rsidRPr="0077627C" w:rsidRDefault="0077627C" w:rsidP="00835443">
            <w:pPr>
              <w:spacing w:before="120"/>
              <w:contextualSpacing/>
              <w:jc w:val="center"/>
              <w:rPr>
                <w:rFonts w:ascii="Arial" w:hAnsi="Arial" w:cs="Arial"/>
                <w:sz w:val="20"/>
                <w:szCs w:val="20"/>
                <w:lang w:val="en-GB"/>
              </w:rPr>
            </w:pPr>
            <w:r w:rsidRPr="0077627C">
              <w:rPr>
                <w:rFonts w:ascii="Arial" w:hAnsi="Arial" w:cs="Arial"/>
                <w:sz w:val="20"/>
                <w:szCs w:val="20"/>
                <w:lang w:val="en-GB"/>
              </w:rPr>
              <w:t>Non-formal sector</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(c)</w:t>
            </w:r>
          </w:p>
        </w:tc>
        <w:tc>
          <w:tcPr>
            <w:tcW w:w="6434" w:type="dxa"/>
          </w:tcPr>
          <w:p w:rsidR="0077627C" w:rsidRPr="0077627C" w:rsidRDefault="0077627C" w:rsidP="00835443">
            <w:pPr>
              <w:spacing w:before="120" w:line="276" w:lineRule="auto"/>
              <w:rPr>
                <w:rFonts w:ascii="Arial" w:hAnsi="Arial" w:cs="Arial"/>
                <w:sz w:val="20"/>
                <w:szCs w:val="20"/>
                <w:lang w:val="en-GB"/>
              </w:rPr>
            </w:pPr>
            <w:r w:rsidRPr="0077627C">
              <w:rPr>
                <w:rFonts w:ascii="Arial" w:hAnsi="Arial" w:cs="Arial"/>
                <w:spacing w:val="4"/>
                <w:sz w:val="20"/>
                <w:szCs w:val="20"/>
                <w:lang w:val="en-GB"/>
              </w:rPr>
              <w:t>Early tracking can contribute to educational inequalities by channelling learners from disadvantaged backgrounds into different learning pathways. Transitions between educational levels and sectors should be facilitated through flexible learning pathways and by avoiding 'dead ends', reinforcing the modularity of education systems, fostering cooperation between various education levels and sectors, providing tailored guidance to learners on educational and career choices and the validation of learning outcomes gained through non-formal and informal learning.</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School management</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(d)</w:t>
            </w:r>
          </w:p>
        </w:tc>
        <w:tc>
          <w:tcPr>
            <w:tcW w:w="6434" w:type="dxa"/>
          </w:tcPr>
          <w:p w:rsidR="0077627C" w:rsidRPr="0077627C" w:rsidRDefault="0077627C" w:rsidP="00835443">
            <w:pPr>
              <w:spacing w:before="120" w:line="276" w:lineRule="auto"/>
              <w:rPr>
                <w:rFonts w:ascii="Arial" w:hAnsi="Arial" w:cs="Arial"/>
                <w:sz w:val="20"/>
                <w:szCs w:val="20"/>
                <w:lang w:val="en-GB"/>
              </w:rPr>
            </w:pPr>
            <w:r w:rsidRPr="0077627C">
              <w:rPr>
                <w:rFonts w:ascii="Arial" w:hAnsi="Arial" w:cs="Arial"/>
                <w:spacing w:val="4"/>
                <w:sz w:val="20"/>
                <w:szCs w:val="20"/>
                <w:lang w:val="en-GB"/>
              </w:rPr>
              <w:t xml:space="preserve">Education policies should ensure that the </w:t>
            </w:r>
            <w:r w:rsidR="00E062CA">
              <w:rPr>
                <w:rFonts w:ascii="Arial" w:hAnsi="Arial" w:cs="Arial"/>
                <w:spacing w:val="4"/>
                <w:sz w:val="20"/>
                <w:szCs w:val="20"/>
                <w:lang w:val="en-GB"/>
              </w:rPr>
              <w:t>learner</w:t>
            </w:r>
            <w:r w:rsidRPr="0077627C">
              <w:rPr>
                <w:rFonts w:ascii="Arial" w:hAnsi="Arial" w:cs="Arial"/>
                <w:spacing w:val="4"/>
                <w:sz w:val="20"/>
                <w:szCs w:val="20"/>
                <w:lang w:val="en-GB"/>
              </w:rPr>
              <w:t xml:space="preserve"> body entering, participating and completing higher education reflects the diversity </w:t>
            </w:r>
            <w:r w:rsidRPr="0077627C">
              <w:rPr>
                <w:rFonts w:ascii="Arial" w:hAnsi="Arial" w:cs="Arial"/>
                <w:spacing w:val="4"/>
                <w:sz w:val="20"/>
                <w:szCs w:val="20"/>
                <w:lang w:val="en-GB"/>
              </w:rPr>
              <w:lastRenderedPageBreak/>
              <w:t>of the wider population, in light of the commitment by Member States to progress within the context of the Bologna Process</w:t>
            </w:r>
            <w:r w:rsidRPr="009167F9">
              <w:rPr>
                <w:rStyle w:val="FootnoteReference"/>
                <w:rFonts w:ascii="Arial" w:hAnsi="Arial" w:cs="Arial"/>
                <w:spacing w:val="4"/>
                <w:sz w:val="20"/>
                <w:szCs w:val="20"/>
              </w:rPr>
              <w:footnoteReference w:id="17"/>
            </w:r>
            <w:r w:rsidRPr="0077627C">
              <w:rPr>
                <w:rFonts w:ascii="Arial" w:hAnsi="Arial" w:cs="Arial"/>
                <w:spacing w:val="4"/>
                <w:sz w:val="20"/>
                <w:szCs w:val="20"/>
                <w:lang w:val="en-GB"/>
              </w:rPr>
              <w:t>.</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lastRenderedPageBreak/>
              <w:t>Policymakers</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(e)</w:t>
            </w:r>
          </w:p>
        </w:tc>
        <w:tc>
          <w:tcPr>
            <w:tcW w:w="6434"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Targeted financial support and mentoring schemes for disadvantaged learners should be promoted to facilitate their progression to secondary and tertiary levels of education and facilitate their successful completion of studies leading to relevant qualifications.</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(f)</w:t>
            </w:r>
          </w:p>
        </w:tc>
        <w:tc>
          <w:tcPr>
            <w:tcW w:w="6434"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Specific efforts should be made to integrate newly arrived migrants into mainstream education and other training opportunities. Their skills and qualifications should be assessed, validated and recognised as soon as possible after their arrival.</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tc>
      </w:tr>
    </w:tbl>
    <w:p w:rsidR="0077627C" w:rsidRPr="009167F9" w:rsidRDefault="0077627C" w:rsidP="0077627C">
      <w:pPr>
        <w:pBdr>
          <w:top w:val="nil"/>
          <w:left w:val="nil"/>
          <w:bottom w:val="nil"/>
          <w:right w:val="nil"/>
          <w:between w:val="nil"/>
          <w:bar w:val="nil"/>
        </w:pBdr>
        <w:spacing w:after="0"/>
        <w:contextualSpacing/>
        <w:rPr>
          <w:rFonts w:ascii="Arial" w:hAnsi="Arial" w:cs="Arial"/>
          <w:b/>
          <w:sz w:val="20"/>
          <w:szCs w:val="20"/>
        </w:rPr>
      </w:pPr>
    </w:p>
    <w:p w:rsidR="0077627C" w:rsidRDefault="0077627C" w:rsidP="0077627C">
      <w:pPr>
        <w:rPr>
          <w:rFonts w:ascii="Arial" w:hAnsi="Arial" w:cs="Arial"/>
          <w:b/>
          <w:i/>
          <w:color w:val="0070C0"/>
          <w:sz w:val="20"/>
          <w:szCs w:val="20"/>
        </w:rPr>
      </w:pPr>
      <w:r>
        <w:rPr>
          <w:rFonts w:ascii="Arial" w:hAnsi="Arial" w:cs="Arial"/>
          <w:b/>
          <w:i/>
          <w:color w:val="0070C0"/>
          <w:sz w:val="20"/>
          <w:szCs w:val="20"/>
        </w:rPr>
        <w:t>Examples</w:t>
      </w:r>
    </w:p>
    <w:p w:rsidR="0077627C" w:rsidRPr="00016DE7" w:rsidRDefault="0077627C" w:rsidP="0077627C">
      <w:p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b/>
          <w:sz w:val="20"/>
          <w:szCs w:val="20"/>
          <w:lang w:val="en-US"/>
        </w:rPr>
      </w:pPr>
      <w:r>
        <w:rPr>
          <w:rFonts w:ascii="Arial" w:hAnsi="Arial" w:cs="Arial"/>
          <w:b/>
          <w:sz w:val="20"/>
          <w:szCs w:val="20"/>
          <w:lang w:val="en-US"/>
        </w:rPr>
        <w:t>Multifunctional centre - Romania</w:t>
      </w:r>
    </w:p>
    <w:p w:rsidR="0077627C" w:rsidRPr="00016DE7" w:rsidRDefault="0077627C" w:rsidP="0077627C">
      <w:p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sz w:val="20"/>
          <w:szCs w:val="20"/>
          <w:lang w:val="en-US"/>
        </w:rPr>
      </w:pPr>
      <w:r w:rsidRPr="00016DE7">
        <w:rPr>
          <w:rFonts w:ascii="Arial" w:hAnsi="Arial" w:cs="Arial"/>
          <w:sz w:val="20"/>
          <w:szCs w:val="20"/>
          <w:lang w:val="en-US"/>
        </w:rPr>
        <w:t>In Romania, the “Multifunctional centre” (</w:t>
      </w:r>
      <w:r w:rsidRPr="00016DE7">
        <w:rPr>
          <w:rFonts w:ascii="Arial" w:hAnsi="Arial" w:cs="Arial"/>
          <w:i/>
          <w:iCs/>
          <w:sz w:val="20"/>
          <w:szCs w:val="20"/>
          <w:lang w:val="en-US"/>
        </w:rPr>
        <w:t>Centrul multifunctional</w:t>
      </w:r>
      <w:r w:rsidRPr="00016DE7">
        <w:rPr>
          <w:rFonts w:ascii="Arial" w:hAnsi="Arial" w:cs="Arial"/>
          <w:sz w:val="20"/>
          <w:szCs w:val="20"/>
          <w:lang w:val="en-US"/>
        </w:rPr>
        <w:t>) targets children between 0 to 6 years old from disadvantaged communities. The initiative aims to ensure that every child has the same opportunity to access education and attain academic success through early intervention in disadvantaged communities. Specifically the project focuses on training teachers, enrolling children who have not previously been enrolled in education, and arriving at agreements with the Local Public Administration to support the cost of school means and activities with children and parents.</w:t>
      </w:r>
    </w:p>
    <w:p w:rsidR="0077627C" w:rsidRDefault="0077627C" w:rsidP="0077627C">
      <w:pPr>
        <w:spacing w:after="0"/>
        <w:rPr>
          <w:rFonts w:ascii="Arial" w:hAnsi="Arial" w:cs="Arial"/>
          <w:b/>
          <w:i/>
          <w:color w:val="0070C0"/>
          <w:sz w:val="20"/>
          <w:szCs w:val="20"/>
          <w:lang w:val="en-US"/>
        </w:rPr>
      </w:pPr>
    </w:p>
    <w:p w:rsidR="0077627C" w:rsidRPr="009167F9" w:rsidRDefault="0077627C" w:rsidP="0077627C">
      <w:pPr>
        <w:pStyle w:val="Default"/>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Arial" w:hAnsi="Arial" w:cs="Arial"/>
          <w:b/>
          <w:bCs/>
          <w:color w:val="auto"/>
          <w:sz w:val="20"/>
          <w:szCs w:val="20"/>
          <w:lang w:val="en-GB"/>
        </w:rPr>
      </w:pPr>
      <w:r w:rsidRPr="009167F9">
        <w:rPr>
          <w:rFonts w:ascii="Arial" w:hAnsi="Arial" w:cs="Arial"/>
          <w:b/>
          <w:bCs/>
          <w:color w:val="auto"/>
          <w:sz w:val="20"/>
          <w:szCs w:val="20"/>
          <w:lang w:val="en-GB"/>
        </w:rPr>
        <w:t>My Journey - Malta</w:t>
      </w:r>
    </w:p>
    <w:p w:rsidR="0077627C" w:rsidRPr="009167F9" w:rsidRDefault="0077627C" w:rsidP="0077627C">
      <w:pPr>
        <w:pStyle w:val="Default"/>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Arial" w:hAnsi="Arial" w:cs="Arial"/>
          <w:sz w:val="20"/>
          <w:szCs w:val="20"/>
          <w:lang w:val="en-GB"/>
        </w:rPr>
      </w:pPr>
      <w:r w:rsidRPr="009167F9">
        <w:rPr>
          <w:rFonts w:ascii="Arial" w:hAnsi="Arial" w:cs="Arial"/>
          <w:sz w:val="20"/>
          <w:szCs w:val="20"/>
          <w:lang w:val="en-GB"/>
        </w:rPr>
        <w:t>The Maltese government is working on a reform called ‘My Journey; Achieving through different paths’. This innovation is to be implemented in lower secondary school in the school year 2019/2020 in order to move from a 'one size fits all' system to more inclusive and equity-oriented programmes, catering to pupils' individual aptitudes. In this regard, Malta is set to introduce learning outcomes instead of prescribed syllabi. The aim is to promote inclusion and respond to diversity by allowing students to choose from several education routes among general, vocational or applied subjects for their elective subjects (beyond the core curriculum). </w:t>
      </w:r>
    </w:p>
    <w:p w:rsidR="0077627C" w:rsidRPr="009167F9" w:rsidRDefault="0077627C" w:rsidP="0077627C">
      <w:pPr>
        <w:pStyle w:val="Default"/>
        <w:spacing w:line="276" w:lineRule="auto"/>
        <w:jc w:val="both"/>
        <w:rPr>
          <w:rFonts w:ascii="Arial" w:hAnsi="Arial" w:cs="Arial"/>
          <w:b/>
          <w:bCs/>
          <w:color w:val="auto"/>
          <w:sz w:val="20"/>
          <w:szCs w:val="20"/>
          <w:lang w:val="en-GB"/>
        </w:rPr>
      </w:pPr>
    </w:p>
    <w:p w:rsidR="0077627C" w:rsidRPr="00016DE7" w:rsidRDefault="0077627C" w:rsidP="0077627C">
      <w:pPr>
        <w:spacing w:after="0"/>
        <w:rPr>
          <w:rFonts w:ascii="Arial" w:hAnsi="Arial" w:cs="Arial"/>
          <w:b/>
          <w:i/>
          <w:color w:val="0070C0"/>
          <w:sz w:val="20"/>
          <w:szCs w:val="20"/>
        </w:rPr>
      </w:pPr>
    </w:p>
    <w:p w:rsidR="0077627C" w:rsidRPr="00016DE7" w:rsidRDefault="0077627C" w:rsidP="0077627C">
      <w:pPr>
        <w:spacing w:after="0"/>
        <w:rPr>
          <w:rFonts w:ascii="Arial" w:hAnsi="Arial" w:cs="Arial"/>
          <w:b/>
          <w:i/>
          <w:color w:val="0070C0"/>
          <w:sz w:val="20"/>
          <w:szCs w:val="20"/>
          <w:lang w:val="en-US"/>
        </w:rPr>
      </w:pPr>
    </w:p>
    <w:p w:rsidR="0077627C" w:rsidRPr="009167F9" w:rsidRDefault="0077627C" w:rsidP="0077627C">
      <w:pPr>
        <w:pStyle w:val="ListParagraph"/>
        <w:keepNext/>
        <w:widowControl w:val="0"/>
        <w:numPr>
          <w:ilvl w:val="0"/>
          <w:numId w:val="15"/>
        </w:numPr>
        <w:pBdr>
          <w:top w:val="nil"/>
          <w:left w:val="nil"/>
          <w:bottom w:val="nil"/>
          <w:right w:val="nil"/>
          <w:between w:val="nil"/>
          <w:bar w:val="nil"/>
        </w:pBdr>
        <w:spacing w:after="240" w:line="276" w:lineRule="auto"/>
        <w:contextualSpacing/>
        <w:rPr>
          <w:rFonts w:ascii="Arial" w:hAnsi="Arial" w:cs="Arial"/>
          <w:b/>
          <w:sz w:val="20"/>
          <w:szCs w:val="20"/>
        </w:rPr>
      </w:pPr>
      <w:r w:rsidRPr="009167F9">
        <w:rPr>
          <w:rFonts w:ascii="Arial" w:hAnsi="Arial" w:cs="Arial"/>
          <w:b/>
          <w:sz w:val="20"/>
          <w:szCs w:val="20"/>
        </w:rPr>
        <w:t>Improving educational governance</w:t>
      </w:r>
    </w:p>
    <w:p w:rsidR="0077627C" w:rsidRPr="009167F9" w:rsidRDefault="0077627C" w:rsidP="0077627C">
      <w:pPr>
        <w:keepNext/>
        <w:pBdr>
          <w:top w:val="nil"/>
          <w:left w:val="nil"/>
          <w:bottom w:val="nil"/>
          <w:right w:val="nil"/>
          <w:between w:val="nil"/>
          <w:bar w:val="nil"/>
        </w:pBdr>
        <w:spacing w:after="0"/>
        <w:contextualSpacing/>
        <w:rPr>
          <w:rFonts w:ascii="Arial" w:hAnsi="Arial" w:cs="Arial"/>
          <w:sz w:val="20"/>
          <w:szCs w:val="20"/>
        </w:rPr>
      </w:pPr>
      <w:r w:rsidRPr="009167F9">
        <w:rPr>
          <w:rFonts w:ascii="Arial" w:hAnsi="Arial" w:cs="Arial"/>
          <w:sz w:val="20"/>
          <w:szCs w:val="20"/>
        </w:rPr>
        <w:t>The core principles of inclusive education are not sufficiently integrated into education and training systems. Policy documents too often see diversity as a problem, instead of focusing on the positive aspects of diversity in society and in learning establishments. In order to ensure the comprehensive and sustainable implementation of inclusiveness and equity in education and training systems, it is essential to develop national and/or regional strategies, backed up by adequate</w:t>
      </w:r>
      <w:r>
        <w:rPr>
          <w:rFonts w:ascii="Arial" w:hAnsi="Arial" w:cs="Arial"/>
          <w:sz w:val="20"/>
          <w:szCs w:val="20"/>
        </w:rPr>
        <w:t xml:space="preserve"> levels of</w:t>
      </w:r>
      <w:r w:rsidRPr="009167F9">
        <w:rPr>
          <w:rFonts w:ascii="Arial" w:hAnsi="Arial" w:cs="Arial"/>
          <w:sz w:val="20"/>
          <w:szCs w:val="20"/>
        </w:rPr>
        <w:t xml:space="preserve"> targeted resources. Robust methods of monitoring and evaluation </w:t>
      </w:r>
      <w:r>
        <w:rPr>
          <w:rFonts w:ascii="Arial" w:hAnsi="Arial" w:cs="Arial"/>
          <w:sz w:val="20"/>
          <w:szCs w:val="20"/>
        </w:rPr>
        <w:t xml:space="preserve">of educational policies and practice </w:t>
      </w:r>
      <w:r w:rsidRPr="009167F9">
        <w:rPr>
          <w:rFonts w:ascii="Arial" w:hAnsi="Arial" w:cs="Arial"/>
          <w:sz w:val="20"/>
          <w:szCs w:val="20"/>
        </w:rPr>
        <w:t>should be introduced to monitor effectiveness and progress against goals and quality standards</w:t>
      </w:r>
      <w:r>
        <w:rPr>
          <w:rFonts w:ascii="Arial" w:hAnsi="Arial" w:cs="Arial"/>
          <w:sz w:val="20"/>
          <w:szCs w:val="20"/>
        </w:rPr>
        <w:t xml:space="preserve"> (in relation to e.g. well-being, access, sense of belonging, inclusive environment, etc.)</w:t>
      </w:r>
      <w:r w:rsidRPr="009167F9">
        <w:rPr>
          <w:rFonts w:ascii="Arial" w:hAnsi="Arial" w:cs="Arial"/>
          <w:sz w:val="20"/>
          <w:szCs w:val="20"/>
        </w:rPr>
        <w:t xml:space="preserve">, with specific </w:t>
      </w:r>
      <w:r w:rsidRPr="009167F9">
        <w:rPr>
          <w:rFonts w:ascii="Arial" w:hAnsi="Arial" w:cs="Arial"/>
          <w:sz w:val="20"/>
          <w:szCs w:val="20"/>
        </w:rPr>
        <w:lastRenderedPageBreak/>
        <w:t xml:space="preserve">indicators and clear feedback loops into policy development and revision. Appropriate </w:t>
      </w:r>
      <w:r w:rsidR="00E457BC">
        <w:rPr>
          <w:rFonts w:ascii="Arial" w:hAnsi="Arial" w:cs="Arial"/>
          <w:sz w:val="20"/>
          <w:szCs w:val="20"/>
        </w:rPr>
        <w:t xml:space="preserve">and adequate </w:t>
      </w:r>
      <w:r w:rsidRPr="009167F9">
        <w:rPr>
          <w:rFonts w:ascii="Arial" w:hAnsi="Arial" w:cs="Arial"/>
          <w:sz w:val="20"/>
          <w:szCs w:val="20"/>
        </w:rPr>
        <w:t xml:space="preserve">funding mechanisms are needed to reward and incentivise learning establishment and teaching staff working effectively </w:t>
      </w:r>
      <w:r w:rsidR="00E457BC">
        <w:rPr>
          <w:rFonts w:ascii="Arial" w:hAnsi="Arial" w:cs="Arial"/>
          <w:sz w:val="20"/>
          <w:szCs w:val="20"/>
        </w:rPr>
        <w:t xml:space="preserve">in learning establishments </w:t>
      </w:r>
      <w:r w:rsidRPr="009167F9">
        <w:rPr>
          <w:rFonts w:ascii="Arial" w:hAnsi="Arial" w:cs="Arial"/>
          <w:sz w:val="20"/>
          <w:szCs w:val="20"/>
        </w:rPr>
        <w:t>with the most diverse populations.</w:t>
      </w:r>
    </w:p>
    <w:p w:rsidR="0077627C" w:rsidRPr="009167F9" w:rsidRDefault="0077627C" w:rsidP="0077627C">
      <w:pPr>
        <w:pBdr>
          <w:top w:val="nil"/>
          <w:left w:val="nil"/>
          <w:bottom w:val="nil"/>
          <w:right w:val="nil"/>
          <w:between w:val="nil"/>
          <w:bar w:val="nil"/>
        </w:pBdr>
        <w:tabs>
          <w:tab w:val="left" w:pos="426"/>
        </w:tabs>
        <w:spacing w:after="0" w:line="240" w:lineRule="auto"/>
        <w:contextualSpacing/>
        <w:rPr>
          <w:rFonts w:ascii="Arial" w:hAnsi="Arial" w:cs="Arial"/>
          <w:b/>
          <w:sz w:val="20"/>
          <w:szCs w:val="20"/>
        </w:rPr>
      </w:pPr>
    </w:p>
    <w:p w:rsidR="0077627C" w:rsidRPr="009167F9" w:rsidRDefault="0077627C" w:rsidP="0077627C">
      <w:pPr>
        <w:pBdr>
          <w:top w:val="nil"/>
          <w:left w:val="nil"/>
          <w:bottom w:val="nil"/>
          <w:right w:val="nil"/>
          <w:between w:val="nil"/>
          <w:bar w:val="nil"/>
        </w:pBdr>
        <w:tabs>
          <w:tab w:val="left" w:pos="426"/>
        </w:tabs>
        <w:spacing w:after="0" w:line="240" w:lineRule="auto"/>
        <w:contextualSpacing/>
        <w:rPr>
          <w:rFonts w:ascii="Arial" w:hAnsi="Arial" w:cs="Arial"/>
          <w:b/>
          <w:sz w:val="20"/>
          <w:szCs w:val="20"/>
        </w:rPr>
      </w:pPr>
    </w:p>
    <w:tbl>
      <w:tblPr>
        <w:tblStyle w:val="TableGrid"/>
        <w:tblW w:w="0" w:type="auto"/>
        <w:tblLook w:val="04A0" w:firstRow="1" w:lastRow="0" w:firstColumn="1" w:lastColumn="0" w:noHBand="0" w:noVBand="1"/>
      </w:tblPr>
      <w:tblGrid>
        <w:gridCol w:w="539"/>
        <w:gridCol w:w="6383"/>
        <w:gridCol w:w="2082"/>
      </w:tblGrid>
      <w:tr w:rsidR="0077627C" w:rsidRPr="009167F9" w:rsidTr="00835443">
        <w:trPr>
          <w:cnfStyle w:val="100000000000" w:firstRow="1" w:lastRow="0" w:firstColumn="0" w:lastColumn="0" w:oddVBand="0" w:evenVBand="0" w:oddHBand="0" w:evenHBand="0" w:firstRowFirstColumn="0" w:firstRowLastColumn="0" w:lastRowFirstColumn="0" w:lastRowLastColumn="0"/>
        </w:trPr>
        <w:tc>
          <w:tcPr>
            <w:tcW w:w="539" w:type="dxa"/>
            <w:shd w:val="clear" w:color="auto" w:fill="548DD4" w:themeFill="text2" w:themeFillTint="99"/>
          </w:tcPr>
          <w:p w:rsidR="0077627C" w:rsidRPr="009167F9" w:rsidRDefault="0077627C" w:rsidP="00835443">
            <w:pPr>
              <w:contextualSpacing/>
              <w:jc w:val="center"/>
              <w:rPr>
                <w:rFonts w:ascii="Arial" w:hAnsi="Arial" w:cs="Arial"/>
                <w:b/>
                <w:color w:val="FFFFFF" w:themeColor="background1"/>
                <w:sz w:val="20"/>
                <w:szCs w:val="20"/>
              </w:rPr>
            </w:pPr>
            <w:r w:rsidRPr="009167F9">
              <w:rPr>
                <w:rFonts w:ascii="Arial" w:hAnsi="Arial" w:cs="Arial"/>
                <w:b/>
                <w:color w:val="FFFFFF" w:themeColor="background1"/>
                <w:sz w:val="20"/>
                <w:szCs w:val="20"/>
              </w:rPr>
              <w:t>No.</w:t>
            </w:r>
          </w:p>
        </w:tc>
        <w:tc>
          <w:tcPr>
            <w:tcW w:w="6434" w:type="dxa"/>
            <w:shd w:val="clear" w:color="auto" w:fill="548DD4" w:themeFill="text2" w:themeFillTint="99"/>
          </w:tcPr>
          <w:p w:rsidR="0077627C" w:rsidRPr="009167F9" w:rsidRDefault="0077627C" w:rsidP="00835443">
            <w:pPr>
              <w:contextualSpacing/>
              <w:jc w:val="center"/>
              <w:rPr>
                <w:rFonts w:ascii="Arial" w:hAnsi="Arial" w:cs="Arial"/>
                <w:b/>
                <w:color w:val="FFFFFF" w:themeColor="background1"/>
                <w:sz w:val="20"/>
                <w:szCs w:val="20"/>
              </w:rPr>
            </w:pPr>
            <w:r w:rsidRPr="009167F9">
              <w:rPr>
                <w:rFonts w:ascii="Arial" w:hAnsi="Arial" w:cs="Arial"/>
                <w:b/>
                <w:color w:val="FFFFFF" w:themeColor="background1"/>
                <w:sz w:val="20"/>
                <w:szCs w:val="20"/>
              </w:rPr>
              <w:t>Key message</w:t>
            </w:r>
          </w:p>
        </w:tc>
        <w:tc>
          <w:tcPr>
            <w:tcW w:w="2089" w:type="dxa"/>
            <w:shd w:val="clear" w:color="auto" w:fill="548DD4" w:themeFill="text2" w:themeFillTint="99"/>
          </w:tcPr>
          <w:p w:rsidR="0077627C" w:rsidRPr="009167F9" w:rsidRDefault="0077627C" w:rsidP="00835443">
            <w:pPr>
              <w:contextualSpacing/>
              <w:jc w:val="center"/>
              <w:rPr>
                <w:rFonts w:ascii="Arial" w:hAnsi="Arial" w:cs="Arial"/>
                <w:b/>
                <w:color w:val="FFFFFF" w:themeColor="background1"/>
                <w:sz w:val="20"/>
                <w:szCs w:val="20"/>
              </w:rPr>
            </w:pPr>
            <w:r w:rsidRPr="009167F9">
              <w:rPr>
                <w:rFonts w:ascii="Arial" w:hAnsi="Arial" w:cs="Arial"/>
                <w:b/>
                <w:color w:val="FFFFFF" w:themeColor="background1"/>
                <w:sz w:val="20"/>
                <w:szCs w:val="20"/>
              </w:rPr>
              <w:t>Target groups</w:t>
            </w:r>
          </w:p>
        </w:tc>
      </w:tr>
      <w:tr w:rsidR="0077627C" w:rsidRPr="009167F9" w:rsidTr="00835443">
        <w:tc>
          <w:tcPr>
            <w:tcW w:w="539" w:type="dxa"/>
            <w:vAlign w:val="center"/>
          </w:tcPr>
          <w:p w:rsidR="0077627C" w:rsidRPr="009167F9" w:rsidRDefault="0077627C" w:rsidP="00835443">
            <w:pPr>
              <w:jc w:val="center"/>
              <w:rPr>
                <w:rFonts w:ascii="Arial" w:hAnsi="Arial" w:cs="Arial"/>
                <w:spacing w:val="4"/>
                <w:sz w:val="20"/>
                <w:szCs w:val="20"/>
              </w:rPr>
            </w:pPr>
            <w:r w:rsidRPr="009167F9">
              <w:rPr>
                <w:rFonts w:ascii="Arial" w:hAnsi="Arial" w:cs="Arial"/>
                <w:spacing w:val="4"/>
                <w:sz w:val="20"/>
                <w:szCs w:val="20"/>
              </w:rPr>
              <w:t>(a)</w:t>
            </w:r>
          </w:p>
        </w:tc>
        <w:tc>
          <w:tcPr>
            <w:tcW w:w="6434"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There is a need to develop a comprehensive policy approach covering all educational levels and sectors to instil a culture of inclusiveness in education based upon the collaboration and commitment of all actors involved. The roles and responsibilities of government, regional/local authorities, learning institutions and the non-formal sector should be clearly defined.</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Non-formal sector</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(b)</w:t>
            </w:r>
          </w:p>
        </w:tc>
        <w:tc>
          <w:tcPr>
            <w:tcW w:w="6434" w:type="dxa"/>
          </w:tcPr>
          <w:p w:rsidR="0077627C" w:rsidRPr="0077627C" w:rsidRDefault="0077627C" w:rsidP="00835443">
            <w:pPr>
              <w:spacing w:before="120" w:line="276" w:lineRule="auto"/>
              <w:rPr>
                <w:rFonts w:ascii="Arial" w:hAnsi="Arial" w:cs="Arial"/>
                <w:sz w:val="20"/>
                <w:szCs w:val="20"/>
                <w:lang w:val="en-GB"/>
              </w:rPr>
            </w:pPr>
            <w:r w:rsidRPr="0077627C">
              <w:rPr>
                <w:rFonts w:ascii="Arial" w:hAnsi="Arial" w:cs="Arial"/>
                <w:sz w:val="20"/>
                <w:szCs w:val="20"/>
                <w:lang w:val="en-GB"/>
              </w:rPr>
              <w:t>Awareness-raising - for all stakeholders and the general public - on the importance of inclusive education, as well as positive examples on the integration of newly arrived migrants in education, should be exploited. Working with the media</w:t>
            </w:r>
            <w:r w:rsidRPr="009167F9">
              <w:rPr>
                <w:rStyle w:val="FootnoteReference"/>
                <w:rFonts w:ascii="Arial" w:hAnsi="Arial" w:cs="Arial"/>
                <w:sz w:val="20"/>
                <w:szCs w:val="20"/>
              </w:rPr>
              <w:footnoteReference w:id="18"/>
            </w:r>
            <w:r w:rsidRPr="0077627C">
              <w:rPr>
                <w:rFonts w:ascii="Arial" w:hAnsi="Arial" w:cs="Arial"/>
                <w:sz w:val="20"/>
                <w:szCs w:val="20"/>
                <w:lang w:val="en-GB"/>
              </w:rPr>
              <w:t xml:space="preserve"> and platforms at national, regional and local level, including online platforms, which bring all actors together to discuss and share good practices can provide effective mechanisms for outreach.</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Non-formal sector</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(c)</w:t>
            </w:r>
          </w:p>
        </w:tc>
        <w:tc>
          <w:tcPr>
            <w:tcW w:w="6434" w:type="dxa"/>
          </w:tcPr>
          <w:p w:rsidR="0077627C" w:rsidRPr="0077627C" w:rsidRDefault="0077627C" w:rsidP="00835443">
            <w:pPr>
              <w:spacing w:before="120" w:line="276" w:lineRule="auto"/>
              <w:rPr>
                <w:rFonts w:ascii="Arial" w:hAnsi="Arial" w:cs="Arial"/>
                <w:sz w:val="20"/>
                <w:szCs w:val="20"/>
                <w:lang w:val="en-GB"/>
              </w:rPr>
            </w:pPr>
            <w:r w:rsidRPr="0077627C">
              <w:rPr>
                <w:rFonts w:ascii="Arial" w:hAnsi="Arial" w:cs="Arial"/>
                <w:spacing w:val="4"/>
                <w:sz w:val="20"/>
                <w:szCs w:val="20"/>
                <w:lang w:val="en-GB"/>
              </w:rPr>
              <w:t>Effective monitoring mechanisms should be developed, in particular on access and educational outcomes, together with a systematic evaluation of the impact of policy measures in order to support more effective targeting of funding. A mix of methods should be used including surveys of different communities, school inspections, external evaluation, self-assessment and qualitative case studies, ensuring the involvement of all stakeholders.</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(d)</w:t>
            </w:r>
          </w:p>
        </w:tc>
        <w:tc>
          <w:tcPr>
            <w:tcW w:w="6434" w:type="dxa"/>
          </w:tcPr>
          <w:p w:rsidR="0077627C" w:rsidRPr="0077627C" w:rsidRDefault="0077627C" w:rsidP="00835443">
            <w:pPr>
              <w:spacing w:before="120" w:line="276" w:lineRule="auto"/>
              <w:rPr>
                <w:rFonts w:ascii="Arial" w:hAnsi="Arial" w:cs="Arial"/>
                <w:sz w:val="20"/>
                <w:szCs w:val="20"/>
                <w:lang w:val="en-GB"/>
              </w:rPr>
            </w:pPr>
            <w:r w:rsidRPr="0077627C">
              <w:rPr>
                <w:rFonts w:ascii="Arial" w:hAnsi="Arial" w:cs="Arial"/>
                <w:spacing w:val="4"/>
                <w:sz w:val="20"/>
                <w:szCs w:val="20"/>
                <w:lang w:val="en-GB"/>
              </w:rPr>
              <w:t>Funding mechanisms should include compensation and incentive mechanisms to foster equity and reward pedagogical added value. The effective use of funding is equally important as the level of funding.</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(e)</w:t>
            </w:r>
          </w:p>
        </w:tc>
        <w:tc>
          <w:tcPr>
            <w:tcW w:w="6434"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 xml:space="preserve">Indicators and standards are helpful in developing a shared understanding of what inclusive education entails. The introduction of institutional development plans, which combine aspects of quality, inclusion and citizenship, should be encouraged together with review systems involving </w:t>
            </w:r>
            <w:r w:rsidRPr="0077627C">
              <w:rPr>
                <w:rFonts w:ascii="Arial" w:hAnsi="Arial" w:cs="Arial"/>
                <w:sz w:val="20"/>
                <w:szCs w:val="20"/>
                <w:lang w:val="en-GB"/>
              </w:rPr>
              <w:t>staff, parents and learners.</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School management</w:t>
            </w:r>
          </w:p>
        </w:tc>
      </w:tr>
      <w:tr w:rsidR="0077627C" w:rsidRPr="009167F9" w:rsidTr="00835443">
        <w:tc>
          <w:tcPr>
            <w:tcW w:w="539" w:type="dxa"/>
            <w:vAlign w:val="center"/>
          </w:tcPr>
          <w:p w:rsidR="0077627C" w:rsidRPr="009167F9" w:rsidRDefault="0077627C" w:rsidP="00835443">
            <w:pPr>
              <w:contextualSpacing/>
              <w:jc w:val="center"/>
              <w:rPr>
                <w:rFonts w:ascii="Arial" w:hAnsi="Arial" w:cs="Arial"/>
                <w:sz w:val="20"/>
                <w:szCs w:val="20"/>
              </w:rPr>
            </w:pPr>
            <w:r w:rsidRPr="009167F9">
              <w:rPr>
                <w:rFonts w:ascii="Arial" w:hAnsi="Arial" w:cs="Arial"/>
                <w:sz w:val="20"/>
                <w:szCs w:val="20"/>
              </w:rPr>
              <w:t>(f)</w:t>
            </w:r>
          </w:p>
        </w:tc>
        <w:tc>
          <w:tcPr>
            <w:tcW w:w="6434" w:type="dxa"/>
          </w:tcPr>
          <w:p w:rsidR="0077627C" w:rsidRPr="0077627C" w:rsidRDefault="0077627C" w:rsidP="00835443">
            <w:pPr>
              <w:spacing w:before="120" w:line="276" w:lineRule="auto"/>
              <w:rPr>
                <w:rFonts w:ascii="Arial" w:hAnsi="Arial" w:cs="Arial"/>
                <w:spacing w:val="4"/>
                <w:sz w:val="20"/>
                <w:szCs w:val="20"/>
                <w:lang w:val="en-GB"/>
              </w:rPr>
            </w:pPr>
            <w:r w:rsidRPr="0077627C">
              <w:rPr>
                <w:rFonts w:ascii="Arial" w:hAnsi="Arial" w:cs="Arial"/>
                <w:spacing w:val="4"/>
                <w:sz w:val="20"/>
                <w:szCs w:val="20"/>
                <w:lang w:val="en-GB"/>
              </w:rPr>
              <w:t>Wider awareness-raising is needed to communicate on the benefits of inclusiveness and diversity, and to debunk the myths about certain disadvantaged groups. It is essential to accompany any educational approach with a communication plan.</w:t>
            </w:r>
          </w:p>
        </w:tc>
        <w:tc>
          <w:tcPr>
            <w:tcW w:w="2089" w:type="dxa"/>
            <w:vAlign w:val="center"/>
          </w:tcPr>
          <w:p w:rsidR="0077627C" w:rsidRPr="009167F9" w:rsidRDefault="0077627C" w:rsidP="00835443">
            <w:pPr>
              <w:spacing w:before="120"/>
              <w:contextualSpacing/>
              <w:jc w:val="center"/>
              <w:rPr>
                <w:rFonts w:ascii="Arial" w:hAnsi="Arial" w:cs="Arial"/>
                <w:sz w:val="20"/>
                <w:szCs w:val="20"/>
              </w:rPr>
            </w:pPr>
            <w:r w:rsidRPr="009167F9">
              <w:rPr>
                <w:rFonts w:ascii="Arial" w:hAnsi="Arial" w:cs="Arial"/>
                <w:sz w:val="20"/>
                <w:szCs w:val="20"/>
              </w:rPr>
              <w:t>Policymakers</w:t>
            </w:r>
          </w:p>
        </w:tc>
      </w:tr>
    </w:tbl>
    <w:p w:rsidR="0077627C" w:rsidRPr="009167F9" w:rsidRDefault="0077627C" w:rsidP="0077627C">
      <w:pPr>
        <w:pBdr>
          <w:top w:val="nil"/>
          <w:left w:val="nil"/>
          <w:bottom w:val="nil"/>
          <w:right w:val="nil"/>
          <w:between w:val="nil"/>
          <w:bar w:val="nil"/>
        </w:pBdr>
        <w:tabs>
          <w:tab w:val="left" w:pos="426"/>
        </w:tabs>
        <w:spacing w:after="0" w:line="240" w:lineRule="auto"/>
        <w:contextualSpacing/>
        <w:rPr>
          <w:rFonts w:ascii="Arial" w:hAnsi="Arial" w:cs="Arial"/>
          <w:b/>
          <w:sz w:val="20"/>
          <w:szCs w:val="20"/>
        </w:rPr>
      </w:pPr>
    </w:p>
    <w:p w:rsidR="0077627C" w:rsidRPr="009167F9" w:rsidRDefault="0077627C" w:rsidP="0077627C">
      <w:pPr>
        <w:pBdr>
          <w:top w:val="nil"/>
          <w:left w:val="nil"/>
          <w:bottom w:val="nil"/>
          <w:right w:val="nil"/>
          <w:between w:val="nil"/>
          <w:bar w:val="nil"/>
        </w:pBdr>
        <w:spacing w:after="0" w:line="240" w:lineRule="auto"/>
        <w:contextualSpacing/>
        <w:rPr>
          <w:rFonts w:ascii="Arial" w:hAnsi="Arial" w:cs="Arial"/>
          <w:b/>
          <w:sz w:val="20"/>
          <w:szCs w:val="20"/>
        </w:rPr>
      </w:pPr>
      <w:r w:rsidRPr="009167F9">
        <w:rPr>
          <w:rFonts w:ascii="Arial" w:hAnsi="Arial" w:cs="Arial"/>
          <w:b/>
          <w:sz w:val="20"/>
          <w:szCs w:val="20"/>
        </w:rPr>
        <w:t xml:space="preserve"> </w:t>
      </w:r>
    </w:p>
    <w:p w:rsidR="0077627C" w:rsidRDefault="0077627C" w:rsidP="0077627C">
      <w:pPr>
        <w:rPr>
          <w:rFonts w:ascii="Arial" w:hAnsi="Arial" w:cs="Arial"/>
          <w:b/>
          <w:i/>
          <w:color w:val="0070C0"/>
          <w:sz w:val="20"/>
          <w:szCs w:val="20"/>
        </w:rPr>
      </w:pPr>
      <w:r>
        <w:rPr>
          <w:rFonts w:ascii="Arial" w:hAnsi="Arial" w:cs="Arial"/>
          <w:b/>
          <w:i/>
          <w:color w:val="0070C0"/>
          <w:sz w:val="20"/>
          <w:szCs w:val="20"/>
        </w:rPr>
        <w:lastRenderedPageBreak/>
        <w:t>Examples</w:t>
      </w:r>
    </w:p>
    <w:p w:rsidR="0077627C" w:rsidRPr="006E7ABA" w:rsidRDefault="0077627C" w:rsidP="0077627C">
      <w:pPr>
        <w:pStyle w:val="Default"/>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both"/>
        <w:rPr>
          <w:rFonts w:ascii="Arial" w:hAnsi="Arial" w:cs="Arial"/>
          <w:b/>
          <w:bCs/>
          <w:color w:val="auto"/>
          <w:sz w:val="20"/>
          <w:szCs w:val="20"/>
          <w:lang w:val="en-GB"/>
        </w:rPr>
      </w:pPr>
      <w:r>
        <w:rPr>
          <w:rFonts w:ascii="Arial" w:hAnsi="Arial" w:cs="Arial"/>
          <w:b/>
          <w:bCs/>
          <w:color w:val="auto"/>
          <w:sz w:val="20"/>
          <w:szCs w:val="20"/>
          <w:lang w:val="en-GB"/>
        </w:rPr>
        <w:t>Pupil s</w:t>
      </w:r>
      <w:r w:rsidRPr="006E7ABA">
        <w:rPr>
          <w:rFonts w:ascii="Arial" w:hAnsi="Arial" w:cs="Arial"/>
          <w:b/>
          <w:bCs/>
          <w:color w:val="auto"/>
          <w:sz w:val="20"/>
          <w:szCs w:val="20"/>
          <w:lang w:val="en-GB"/>
        </w:rPr>
        <w:t xml:space="preserve">urvey - Norway </w:t>
      </w:r>
    </w:p>
    <w:p w:rsidR="0077627C" w:rsidRPr="00C03B54" w:rsidRDefault="0077627C" w:rsidP="0077627C">
      <w:p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sz w:val="20"/>
          <w:szCs w:val="20"/>
          <w:lang w:val="en-US"/>
        </w:rPr>
      </w:pPr>
      <w:r w:rsidRPr="00C03B54">
        <w:rPr>
          <w:rFonts w:ascii="Arial" w:hAnsi="Arial" w:cs="Arial"/>
          <w:sz w:val="20"/>
          <w:szCs w:val="20"/>
          <w:lang w:val="en-US"/>
        </w:rPr>
        <w:t>In Norway, all pupils in primary and secondary school are asked annually t</w:t>
      </w:r>
      <w:r>
        <w:rPr>
          <w:rFonts w:ascii="Arial" w:hAnsi="Arial" w:cs="Arial"/>
          <w:sz w:val="20"/>
          <w:szCs w:val="20"/>
          <w:lang w:val="en-US"/>
        </w:rPr>
        <w:t>o (voluntarily) complete a web-</w:t>
      </w:r>
      <w:r w:rsidRPr="00C03B54">
        <w:rPr>
          <w:rFonts w:ascii="Arial" w:hAnsi="Arial" w:cs="Arial"/>
          <w:sz w:val="20"/>
          <w:szCs w:val="20"/>
          <w:lang w:val="en-US"/>
        </w:rPr>
        <w:t xml:space="preserve">based questionnaire. The questionnaire asks students about their opinions regarding issues that are important for their learning and well-being in school.  The </w:t>
      </w:r>
      <w:r>
        <w:rPr>
          <w:rFonts w:ascii="Arial" w:hAnsi="Arial" w:cs="Arial"/>
          <w:sz w:val="20"/>
          <w:szCs w:val="20"/>
          <w:lang w:val="en-US"/>
        </w:rPr>
        <w:t>comprehensive</w:t>
      </w:r>
      <w:r w:rsidRPr="00C03B54">
        <w:rPr>
          <w:rFonts w:ascii="Arial" w:hAnsi="Arial" w:cs="Arial"/>
          <w:sz w:val="20"/>
          <w:szCs w:val="20"/>
          <w:lang w:val="en-US"/>
        </w:rPr>
        <w:t xml:space="preserve"> survey contains questions relating to</w:t>
      </w:r>
      <w:r>
        <w:rPr>
          <w:rFonts w:ascii="Arial" w:hAnsi="Arial" w:cs="Arial"/>
          <w:sz w:val="20"/>
          <w:szCs w:val="20"/>
          <w:lang w:val="en-US"/>
        </w:rPr>
        <w:t>,</w:t>
      </w:r>
      <w:r w:rsidRPr="00C03B54">
        <w:rPr>
          <w:rFonts w:ascii="Arial" w:hAnsi="Arial" w:cs="Arial"/>
          <w:sz w:val="20"/>
          <w:szCs w:val="20"/>
          <w:lang w:val="en-US"/>
        </w:rPr>
        <w:t xml:space="preserve"> for instance</w:t>
      </w:r>
      <w:r>
        <w:rPr>
          <w:rFonts w:ascii="Arial" w:hAnsi="Arial" w:cs="Arial"/>
          <w:sz w:val="20"/>
          <w:szCs w:val="20"/>
          <w:lang w:val="en-US"/>
        </w:rPr>
        <w:t>,</w:t>
      </w:r>
      <w:r w:rsidRPr="00C03B54">
        <w:rPr>
          <w:rFonts w:ascii="Arial" w:hAnsi="Arial" w:cs="Arial"/>
          <w:sz w:val="20"/>
          <w:szCs w:val="20"/>
          <w:lang w:val="en-US"/>
        </w:rPr>
        <w:t xml:space="preserve"> experiences with bullying, relations with teachers, sense of belonging and exclusion, motivation, types of learning methods used in the classroom, and the classroom environment. The results of the survey are used to improve the learning environment in schools for all pupils. </w:t>
      </w:r>
    </w:p>
    <w:p w:rsidR="0077627C" w:rsidRPr="006E7ABA" w:rsidRDefault="0077627C" w:rsidP="0077627C">
      <w:pPr>
        <w:shd w:val="clear" w:color="auto" w:fill="FFFFFF" w:themeFill="background1"/>
        <w:spacing w:after="0"/>
        <w:rPr>
          <w:rFonts w:ascii="Arial" w:hAnsi="Arial" w:cs="Arial"/>
          <w:sz w:val="20"/>
          <w:szCs w:val="20"/>
        </w:rPr>
      </w:pPr>
    </w:p>
    <w:p w:rsidR="0077627C" w:rsidRPr="006E7ABA" w:rsidRDefault="0077627C" w:rsidP="0077627C">
      <w:pPr>
        <w:pBdr>
          <w:top w:val="single" w:sz="4" w:space="1" w:color="auto"/>
          <w:left w:val="single" w:sz="4" w:space="4" w:color="auto"/>
          <w:bottom w:val="single" w:sz="4" w:space="1" w:color="auto"/>
          <w:right w:val="single" w:sz="4" w:space="4" w:color="auto"/>
        </w:pBdr>
        <w:shd w:val="clear" w:color="auto" w:fill="DAEEF3" w:themeFill="accent5" w:themeFillTint="33"/>
        <w:spacing w:after="0"/>
        <w:contextualSpacing/>
        <w:rPr>
          <w:rFonts w:ascii="Arial" w:hAnsi="Arial" w:cs="Arial"/>
          <w:b/>
          <w:sz w:val="20"/>
          <w:szCs w:val="20"/>
        </w:rPr>
      </w:pPr>
      <w:r w:rsidRPr="006E7ABA">
        <w:rPr>
          <w:rFonts w:ascii="Arial" w:hAnsi="Arial" w:cs="Arial"/>
          <w:b/>
          <w:sz w:val="20"/>
          <w:szCs w:val="20"/>
        </w:rPr>
        <w:t>Law on cr</w:t>
      </w:r>
      <w:r>
        <w:rPr>
          <w:rFonts w:ascii="Arial" w:hAnsi="Arial" w:cs="Arial"/>
          <w:b/>
          <w:sz w:val="20"/>
          <w:szCs w:val="20"/>
        </w:rPr>
        <w:t xml:space="preserve">eating a safe school climate – </w:t>
      </w:r>
      <w:r w:rsidRPr="006E7ABA">
        <w:rPr>
          <w:rFonts w:ascii="Arial" w:hAnsi="Arial" w:cs="Arial"/>
          <w:b/>
          <w:sz w:val="20"/>
          <w:szCs w:val="20"/>
        </w:rPr>
        <w:t>Netherlands</w:t>
      </w:r>
    </w:p>
    <w:p w:rsidR="0077627C" w:rsidRPr="006E7ABA" w:rsidRDefault="0077627C" w:rsidP="0077627C">
      <w:pPr>
        <w:pBdr>
          <w:top w:val="single" w:sz="4" w:space="1" w:color="auto"/>
          <w:left w:val="single" w:sz="4" w:space="4" w:color="auto"/>
          <w:bottom w:val="single" w:sz="4" w:space="1" w:color="auto"/>
          <w:right w:val="single" w:sz="4" w:space="4" w:color="auto"/>
        </w:pBdr>
        <w:shd w:val="clear" w:color="auto" w:fill="DAEEF3" w:themeFill="accent5" w:themeFillTint="33"/>
        <w:spacing w:after="0"/>
        <w:rPr>
          <w:rFonts w:ascii="Arial" w:hAnsi="Arial" w:cs="Arial"/>
          <w:sz w:val="20"/>
          <w:szCs w:val="20"/>
        </w:rPr>
      </w:pPr>
      <w:r w:rsidRPr="00C03B54">
        <w:rPr>
          <w:rFonts w:ascii="Arial" w:hAnsi="Arial" w:cs="Arial"/>
          <w:sz w:val="20"/>
          <w:szCs w:val="20"/>
          <w:lang w:val="en-US"/>
        </w:rPr>
        <w:t>In 2015, the Netherlands enacted a law on creating a safe school climate. Schools are obliged to provide a socially safe school climate. In general, the law contains three important tasks for school: (1) Schools have the explicit responsibility for a safe social learning environment; (2) mandatory monitoring by the school inspectorate; (3) a permanent coordinator within each school who serves as the contact person for the school’s anti-bullying activities, who also acts as a counsellor for students and parents.</w:t>
      </w:r>
      <w:r w:rsidRPr="006E7ABA">
        <w:rPr>
          <w:rFonts w:ascii="Arial" w:hAnsi="Arial" w:cs="Arial"/>
          <w:sz w:val="20"/>
          <w:szCs w:val="20"/>
        </w:rPr>
        <w:t xml:space="preserve"> </w:t>
      </w:r>
    </w:p>
    <w:p w:rsidR="0077627C" w:rsidRPr="006E7ABA" w:rsidRDefault="0077627C" w:rsidP="0077627C">
      <w:pPr>
        <w:spacing w:after="0"/>
        <w:contextualSpacing/>
        <w:rPr>
          <w:rFonts w:ascii="Arial" w:hAnsi="Arial" w:cs="Arial"/>
          <w:sz w:val="20"/>
          <w:szCs w:val="20"/>
        </w:rPr>
      </w:pPr>
    </w:p>
    <w:p w:rsidR="0077627C" w:rsidRPr="000B45BF" w:rsidRDefault="0077627C" w:rsidP="0077627C">
      <w:pPr>
        <w:rPr>
          <w:rFonts w:ascii="Arial" w:hAnsi="Arial" w:cs="Arial"/>
          <w:b/>
          <w:i/>
          <w:color w:val="0070C0"/>
          <w:sz w:val="20"/>
          <w:szCs w:val="20"/>
        </w:rPr>
      </w:pPr>
    </w:p>
    <w:p w:rsidR="0077627C" w:rsidRPr="009167F9" w:rsidRDefault="0077627C" w:rsidP="0077627C">
      <w:pPr>
        <w:rPr>
          <w:rFonts w:ascii="Arial" w:hAnsi="Arial" w:cs="Arial"/>
          <w:sz w:val="20"/>
          <w:szCs w:val="20"/>
        </w:rPr>
      </w:pPr>
    </w:p>
    <w:p w:rsidR="0077627C" w:rsidRPr="009167F9" w:rsidRDefault="0077627C" w:rsidP="0077627C">
      <w:pPr>
        <w:rPr>
          <w:rFonts w:ascii="Arial" w:hAnsi="Arial" w:cs="Arial"/>
          <w:sz w:val="20"/>
          <w:szCs w:val="20"/>
        </w:rPr>
      </w:pPr>
      <w:r w:rsidRPr="009167F9">
        <w:rPr>
          <w:rFonts w:ascii="Arial" w:hAnsi="Arial" w:cs="Arial"/>
          <w:sz w:val="20"/>
          <w:szCs w:val="20"/>
        </w:rPr>
        <w:br w:type="page"/>
      </w:r>
    </w:p>
    <w:p w:rsidR="0077627C" w:rsidRPr="00453B4E" w:rsidRDefault="0077627C" w:rsidP="0077627C">
      <w:pPr>
        <w:jc w:val="center"/>
        <w:rPr>
          <w:rFonts w:ascii="Arial" w:hAnsi="Arial" w:cs="Arial"/>
          <w:b/>
          <w:color w:val="0070C0"/>
          <w:szCs w:val="20"/>
        </w:rPr>
      </w:pPr>
      <w:r w:rsidRPr="00453B4E">
        <w:rPr>
          <w:rFonts w:ascii="Arial" w:hAnsi="Arial" w:cs="Arial"/>
          <w:b/>
          <w:color w:val="0070C0"/>
          <w:szCs w:val="20"/>
        </w:rPr>
        <w:lastRenderedPageBreak/>
        <w:t>GLOSSARY</w:t>
      </w: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color w:val="000000"/>
          <w:lang w:val="en-GB"/>
        </w:rPr>
      </w:pPr>
      <w:r w:rsidRPr="005B1175">
        <w:rPr>
          <w:rFonts w:ascii="Arial" w:hAnsi="Arial" w:cs="Arial"/>
          <w:b/>
          <w:color w:val="000000"/>
          <w:lang w:val="en-GB"/>
        </w:rPr>
        <w:t>Asylum seeker</w:t>
      </w:r>
      <w:r>
        <w:rPr>
          <w:rFonts w:ascii="Arial" w:hAnsi="Arial" w:cs="Arial"/>
          <w:b/>
          <w:color w:val="000000"/>
          <w:lang w:val="en-GB"/>
        </w:rPr>
        <w:t>/</w:t>
      </w:r>
      <w:r w:rsidRPr="005B1175">
        <w:rPr>
          <w:rFonts w:ascii="Arial" w:hAnsi="Arial" w:cs="Arial"/>
          <w:b/>
          <w:color w:val="000000"/>
          <w:lang w:val="en-GB"/>
        </w:rPr>
        <w:t>refugee</w:t>
      </w:r>
      <w:r>
        <w:rPr>
          <w:rFonts w:ascii="Arial" w:hAnsi="Arial" w:cs="Arial"/>
          <w:b/>
          <w:color w:val="000000"/>
          <w:lang w:val="en-GB"/>
        </w:rPr>
        <w:t>:</w:t>
      </w:r>
      <w:r w:rsidRPr="005B1175">
        <w:rPr>
          <w:rFonts w:ascii="Arial" w:hAnsi="Arial" w:cs="Arial"/>
          <w:b/>
          <w:color w:val="000000"/>
          <w:lang w:val="en-GB"/>
        </w:rPr>
        <w:t xml:space="preserve"> </w:t>
      </w:r>
      <w:r w:rsidRPr="005B1175">
        <w:rPr>
          <w:rFonts w:ascii="Arial" w:eastAsia="Times New Roman" w:hAnsi="Arial" w:cs="Arial"/>
          <w:bCs/>
          <w:color w:val="000000"/>
          <w:shd w:val="clear" w:color="auto" w:fill="FFFFFF"/>
          <w:lang w:val="en-GB"/>
        </w:rPr>
        <w:t xml:space="preserve">Asylum seekers </w:t>
      </w:r>
      <w:r w:rsidRPr="005B1175">
        <w:rPr>
          <w:rFonts w:ascii="Arial" w:eastAsia="Times New Roman" w:hAnsi="Arial" w:cs="Arial"/>
          <w:color w:val="000000"/>
          <w:shd w:val="clear" w:color="auto" w:fill="FFFFFF"/>
          <w:lang w:val="en-GB"/>
        </w:rPr>
        <w:t>are people who move across borders in search of protection, but who may not fulfil the strict criteria laid down by the 1951 Refugee Convention.</w:t>
      </w:r>
      <w:r w:rsidRPr="005B1175">
        <w:rPr>
          <w:rStyle w:val="FootnoteReference"/>
          <w:rFonts w:ascii="Arial" w:eastAsia="Times New Roman" w:hAnsi="Arial" w:cs="Arial"/>
          <w:color w:val="000000"/>
          <w:shd w:val="clear" w:color="auto" w:fill="FFFFFF"/>
          <w:lang w:val="en-GB"/>
        </w:rPr>
        <w:footnoteReference w:id="19"/>
      </w:r>
      <w:r w:rsidRPr="005B1175">
        <w:rPr>
          <w:rFonts w:ascii="Arial" w:eastAsia="Times New Roman" w:hAnsi="Arial" w:cs="Arial"/>
          <w:color w:val="000000"/>
          <w:shd w:val="clear" w:color="auto" w:fill="FFFFFF"/>
          <w:lang w:val="en-GB"/>
        </w:rPr>
        <w:t xml:space="preserve"> An asylum seeker is a person who has applied for protection as a refugee and is awaiting the determination of his or her status. Refugee is the term used to describe a person who has already been granted (legal) protection. </w:t>
      </w: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color w:val="000000"/>
          <w:lang w:val="en-GB"/>
        </w:rPr>
      </w:pP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color w:val="000000"/>
          <w:lang w:val="en-GB"/>
        </w:rPr>
      </w:pPr>
      <w:r w:rsidRPr="005B1175">
        <w:rPr>
          <w:rFonts w:ascii="Arial" w:hAnsi="Arial" w:cs="Arial"/>
          <w:b/>
          <w:color w:val="000000"/>
          <w:lang w:val="en-GB"/>
        </w:rPr>
        <w:t>Bilingual</w:t>
      </w:r>
      <w:r>
        <w:rPr>
          <w:rFonts w:ascii="Arial" w:hAnsi="Arial" w:cs="Arial"/>
          <w:b/>
          <w:color w:val="000000"/>
          <w:lang w:val="en-GB"/>
        </w:rPr>
        <w:t>/m</w:t>
      </w:r>
      <w:r w:rsidRPr="005B1175">
        <w:rPr>
          <w:rFonts w:ascii="Arial" w:hAnsi="Arial" w:cs="Arial"/>
          <w:b/>
          <w:color w:val="000000"/>
          <w:lang w:val="en-GB"/>
        </w:rPr>
        <w:t xml:space="preserve">ultilingual </w:t>
      </w:r>
      <w:r>
        <w:rPr>
          <w:rFonts w:ascii="Arial" w:hAnsi="Arial" w:cs="Arial"/>
          <w:b/>
          <w:color w:val="000000"/>
          <w:lang w:val="en-GB"/>
        </w:rPr>
        <w:t>e</w:t>
      </w:r>
      <w:r w:rsidRPr="005B1175">
        <w:rPr>
          <w:rFonts w:ascii="Arial" w:hAnsi="Arial" w:cs="Arial"/>
          <w:b/>
          <w:color w:val="000000"/>
          <w:lang w:val="en-GB"/>
        </w:rPr>
        <w:t>ducation</w:t>
      </w:r>
      <w:r>
        <w:rPr>
          <w:rFonts w:ascii="Arial" w:hAnsi="Arial" w:cs="Arial"/>
          <w:b/>
          <w:color w:val="000000"/>
          <w:lang w:val="en-GB"/>
        </w:rPr>
        <w:t>:</w:t>
      </w:r>
      <w:r w:rsidRPr="005B1175">
        <w:rPr>
          <w:rFonts w:ascii="Arial" w:hAnsi="Arial" w:cs="Arial"/>
          <w:b/>
          <w:color w:val="000000"/>
          <w:lang w:val="en-GB"/>
        </w:rPr>
        <w:t xml:space="preserve"> </w:t>
      </w:r>
      <w:r w:rsidRPr="005B1175">
        <w:rPr>
          <w:rFonts w:ascii="Arial" w:eastAsia="Times New Roman" w:hAnsi="Arial" w:cs="Arial"/>
          <w:lang w:val="en-GB"/>
        </w:rPr>
        <w:t xml:space="preserve">Bilingual and multilingual education refer to the use of two </w:t>
      </w:r>
      <w:r>
        <w:rPr>
          <w:rFonts w:ascii="Arial" w:eastAsia="Times New Roman" w:hAnsi="Arial" w:cs="Arial"/>
          <w:lang w:val="en-GB"/>
        </w:rPr>
        <w:t xml:space="preserve">(bilingual) </w:t>
      </w:r>
      <w:r w:rsidRPr="005B1175">
        <w:rPr>
          <w:rFonts w:ascii="Arial" w:eastAsia="Times New Roman" w:hAnsi="Arial" w:cs="Arial"/>
          <w:lang w:val="en-GB"/>
        </w:rPr>
        <w:t>or more</w:t>
      </w:r>
      <w:r>
        <w:rPr>
          <w:rFonts w:ascii="Arial" w:eastAsia="Times New Roman" w:hAnsi="Arial" w:cs="Arial"/>
          <w:lang w:val="en-GB"/>
        </w:rPr>
        <w:t xml:space="preserve"> (multilingual)</w:t>
      </w:r>
      <w:r w:rsidRPr="005B1175">
        <w:rPr>
          <w:rFonts w:ascii="Arial" w:eastAsia="Times New Roman" w:hAnsi="Arial" w:cs="Arial"/>
          <w:lang w:val="en-GB"/>
        </w:rPr>
        <w:t xml:space="preserve"> languages as mediums of instruction</w:t>
      </w:r>
      <w:r w:rsidRPr="005B1175">
        <w:rPr>
          <w:rStyle w:val="FootnoteReference"/>
          <w:rFonts w:ascii="Arial" w:eastAsia="Times New Roman" w:hAnsi="Arial" w:cs="Arial"/>
          <w:lang w:val="en-GB"/>
        </w:rPr>
        <w:footnoteReference w:id="20"/>
      </w:r>
      <w:r>
        <w:rPr>
          <w:rFonts w:ascii="Arial" w:eastAsia="Times New Roman" w:hAnsi="Arial" w:cs="Arial"/>
          <w:lang w:val="en-GB"/>
        </w:rPr>
        <w:t>. T</w:t>
      </w:r>
      <w:r w:rsidRPr="005B1175">
        <w:rPr>
          <w:rFonts w:ascii="Arial" w:eastAsia="Times New Roman" w:hAnsi="Arial" w:cs="Arial"/>
          <w:lang w:val="en-GB"/>
        </w:rPr>
        <w:t xml:space="preserve">hey represent a form of education that views competence in multiple languages </w:t>
      </w:r>
      <w:r w:rsidRPr="005B1175">
        <w:rPr>
          <w:rFonts w:ascii="Arial" w:hAnsi="Arial" w:cs="Arial"/>
          <w:lang w:val="en-GB"/>
        </w:rPr>
        <w:t>as a resource rather than as a deficit.</w:t>
      </w:r>
      <w:r w:rsidRPr="005B1175">
        <w:rPr>
          <w:rStyle w:val="FootnoteReference"/>
          <w:rFonts w:ascii="Arial" w:hAnsi="Arial" w:cs="Arial"/>
          <w:lang w:val="en-GB"/>
        </w:rPr>
        <w:footnoteReference w:id="21"/>
      </w: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color w:val="000000"/>
          <w:lang w:val="en-GB"/>
        </w:rPr>
      </w:pP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color w:val="000000"/>
          <w:lang w:val="en-GB"/>
        </w:rPr>
      </w:pPr>
      <w:r w:rsidRPr="005B1175">
        <w:rPr>
          <w:rFonts w:ascii="Arial" w:hAnsi="Arial" w:cs="Arial"/>
          <w:b/>
          <w:color w:val="000000"/>
          <w:lang w:val="en-GB"/>
        </w:rPr>
        <w:t xml:space="preserve">Citizenship </w:t>
      </w:r>
      <w:r>
        <w:rPr>
          <w:rFonts w:ascii="Arial" w:hAnsi="Arial" w:cs="Arial"/>
          <w:b/>
          <w:color w:val="000000"/>
          <w:lang w:val="en-GB"/>
        </w:rPr>
        <w:t>e</w:t>
      </w:r>
      <w:r w:rsidRPr="005B1175">
        <w:rPr>
          <w:rFonts w:ascii="Arial" w:hAnsi="Arial" w:cs="Arial"/>
          <w:b/>
          <w:color w:val="000000"/>
          <w:lang w:val="en-GB"/>
        </w:rPr>
        <w:t>ducation</w:t>
      </w:r>
      <w:r>
        <w:rPr>
          <w:rFonts w:ascii="Arial" w:hAnsi="Arial" w:cs="Arial"/>
          <w:b/>
          <w:color w:val="000000"/>
          <w:lang w:val="en-GB"/>
        </w:rPr>
        <w:t>:</w:t>
      </w:r>
      <w:r w:rsidRPr="005B1175">
        <w:rPr>
          <w:rFonts w:ascii="Arial" w:hAnsi="Arial" w:cs="Arial"/>
          <w:b/>
          <w:color w:val="000000"/>
          <w:lang w:val="en-GB"/>
        </w:rPr>
        <w:t xml:space="preserve"> </w:t>
      </w:r>
      <w:r w:rsidRPr="005B1175">
        <w:rPr>
          <w:rFonts w:ascii="Arial" w:hAnsi="Arial" w:cs="Arial"/>
          <w:color w:val="000000"/>
          <w:lang w:val="en-GB"/>
        </w:rPr>
        <w:t xml:space="preserve">Citizenship education can be understood as the subject area that is promoted in schools with the aim of fostering </w:t>
      </w:r>
      <w:r>
        <w:rPr>
          <w:rFonts w:ascii="Arial" w:hAnsi="Arial" w:cs="Arial"/>
          <w:color w:val="000000"/>
          <w:lang w:val="en-GB"/>
        </w:rPr>
        <w:t xml:space="preserve">multiperspectivity </w:t>
      </w:r>
      <w:r w:rsidRPr="00524BEA">
        <w:rPr>
          <w:rFonts w:ascii="Arial" w:hAnsi="Arial" w:cs="Arial"/>
          <w:color w:val="000000"/>
          <w:lang w:val="en-GB"/>
        </w:rPr>
        <w:t>and critical thinking skills, as well as the harmonious co-existence and mutually beneficial development of individuals and</w:t>
      </w:r>
      <w:r w:rsidRPr="005B1175">
        <w:rPr>
          <w:rFonts w:ascii="Arial" w:hAnsi="Arial" w:cs="Arial"/>
          <w:color w:val="000000"/>
          <w:lang w:val="en-GB"/>
        </w:rPr>
        <w:t xml:space="preserve"> of the communities they are part of. In democratic societies, citizenship education supports students in becoming active, informed and responsible citizens, who are willing and able to take responsibility for themselves and for their communities at the local, regional, national and international level.</w:t>
      </w:r>
      <w:r w:rsidRPr="005B1175">
        <w:rPr>
          <w:rStyle w:val="FootnoteReference"/>
          <w:rFonts w:ascii="Arial" w:hAnsi="Arial" w:cs="Arial"/>
          <w:lang w:val="en-GB"/>
        </w:rPr>
        <w:footnoteReference w:id="22"/>
      </w: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color w:val="000000"/>
          <w:lang w:val="en-GB"/>
        </w:rPr>
      </w:pPr>
    </w:p>
    <w:p w:rsidR="0077627C" w:rsidRDefault="0077627C" w:rsidP="0077627C">
      <w:pPr>
        <w:spacing w:after="0" w:line="269" w:lineRule="auto"/>
        <w:rPr>
          <w:rFonts w:ascii="Arial" w:hAnsi="Arial" w:cs="Arial"/>
          <w:sz w:val="20"/>
          <w:szCs w:val="20"/>
        </w:rPr>
      </w:pPr>
      <w:r w:rsidRPr="00353991">
        <w:rPr>
          <w:rFonts w:ascii="Arial" w:hAnsi="Arial" w:cs="Arial"/>
          <w:b/>
          <w:color w:val="000000"/>
          <w:sz w:val="20"/>
          <w:szCs w:val="20"/>
        </w:rPr>
        <w:t xml:space="preserve">Democratic </w:t>
      </w:r>
      <w:r>
        <w:rPr>
          <w:rFonts w:ascii="Arial" w:hAnsi="Arial" w:cs="Arial"/>
          <w:b/>
          <w:color w:val="000000"/>
          <w:sz w:val="20"/>
          <w:szCs w:val="20"/>
        </w:rPr>
        <w:t>c</w:t>
      </w:r>
      <w:r w:rsidRPr="00353991">
        <w:rPr>
          <w:rFonts w:ascii="Arial" w:hAnsi="Arial" w:cs="Arial"/>
          <w:b/>
          <w:color w:val="000000"/>
          <w:sz w:val="20"/>
          <w:szCs w:val="20"/>
        </w:rPr>
        <w:t>itizenship:</w:t>
      </w:r>
      <w:r>
        <w:rPr>
          <w:rFonts w:ascii="Arial" w:hAnsi="Arial" w:cs="Arial"/>
          <w:b/>
          <w:color w:val="000000"/>
        </w:rPr>
        <w:t xml:space="preserve"> </w:t>
      </w:r>
      <w:r w:rsidRPr="00353991">
        <w:rPr>
          <w:rFonts w:ascii="Arial" w:hAnsi="Arial" w:cs="Arial"/>
          <w:sz w:val="20"/>
          <w:szCs w:val="20"/>
        </w:rPr>
        <w:t>Democratic citizenship refers to greater participation, social cohesion, access, equity and solidarity. Democratic citizenship is about inclusion rather than exclusion, participation rather than marginalisation, culture and values rather than simple procedural issues (such as voting) and is about being active in shaping understandings and practices of citizenship.</w:t>
      </w:r>
      <w:r>
        <w:rPr>
          <w:rStyle w:val="FootnoteReference"/>
          <w:rFonts w:cs="Arial"/>
          <w:szCs w:val="20"/>
        </w:rPr>
        <w:footnoteReference w:id="23"/>
      </w:r>
    </w:p>
    <w:p w:rsidR="0077627C" w:rsidRPr="00353991" w:rsidRDefault="0077627C" w:rsidP="0077627C">
      <w:pPr>
        <w:spacing w:after="0" w:line="269" w:lineRule="auto"/>
        <w:rPr>
          <w:rFonts w:ascii="Times" w:hAnsi="Times"/>
          <w:sz w:val="20"/>
          <w:szCs w:val="20"/>
        </w:rPr>
      </w:pP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color w:val="000000"/>
          <w:lang w:val="en-GB"/>
        </w:rPr>
      </w:pPr>
      <w:r w:rsidRPr="005B1175">
        <w:rPr>
          <w:rFonts w:ascii="Arial" w:hAnsi="Arial" w:cs="Arial"/>
          <w:b/>
          <w:color w:val="000000"/>
          <w:lang w:val="en-GB"/>
        </w:rPr>
        <w:t>Discrimination</w:t>
      </w:r>
      <w:r>
        <w:rPr>
          <w:rFonts w:ascii="Arial" w:hAnsi="Arial" w:cs="Arial"/>
          <w:b/>
          <w:color w:val="000000"/>
          <w:lang w:val="en-GB"/>
        </w:rPr>
        <w:t>:</w:t>
      </w:r>
      <w:r w:rsidRPr="005B1175">
        <w:rPr>
          <w:rFonts w:ascii="Arial" w:hAnsi="Arial" w:cs="Arial"/>
          <w:b/>
          <w:color w:val="000000"/>
          <w:lang w:val="en-GB"/>
        </w:rPr>
        <w:t xml:space="preserve"> </w:t>
      </w:r>
      <w:r w:rsidRPr="005B1175">
        <w:rPr>
          <w:rFonts w:ascii="Arial" w:eastAsia="Times New Roman" w:hAnsi="Arial" w:cs="Arial"/>
          <w:lang w:val="en-GB"/>
        </w:rPr>
        <w:t xml:space="preserve">UNESCO </w:t>
      </w:r>
      <w:r>
        <w:rPr>
          <w:rFonts w:ascii="Arial" w:eastAsia="Times New Roman" w:hAnsi="Arial" w:cs="Arial"/>
          <w:lang w:val="en-GB"/>
        </w:rPr>
        <w:t>defines</w:t>
      </w:r>
      <w:r w:rsidRPr="005B1175">
        <w:rPr>
          <w:rFonts w:ascii="Arial" w:eastAsia="Times New Roman" w:hAnsi="Arial" w:cs="Arial"/>
          <w:lang w:val="en-GB"/>
        </w:rPr>
        <w:t xml:space="preserve"> discrimination as including ‘any distinction, exclusion, limitation or preference which, being based on race, colour, sex, language, religion, political or other opinion, national or social origin, economic condition or birth, has the purpose or effect of nullifying or impairing equality of treatment in education’.</w:t>
      </w:r>
      <w:r w:rsidRPr="005B1175">
        <w:rPr>
          <w:rStyle w:val="FootnoteReference"/>
          <w:rFonts w:ascii="Arial" w:eastAsia="Times New Roman" w:hAnsi="Arial" w:cs="Arial"/>
          <w:lang w:val="en-GB"/>
        </w:rPr>
        <w:footnoteReference w:id="24"/>
      </w:r>
      <w:r w:rsidRPr="005B1175">
        <w:rPr>
          <w:rFonts w:ascii="Arial" w:eastAsia="Times New Roman" w:hAnsi="Arial" w:cs="Arial"/>
          <w:lang w:val="en-GB"/>
        </w:rPr>
        <w:t xml:space="preserve">  </w:t>
      </w: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color w:val="000000"/>
          <w:lang w:val="en-GB"/>
        </w:rPr>
      </w:pP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color w:val="000000"/>
          <w:lang w:val="en-GB"/>
        </w:rPr>
      </w:pPr>
      <w:r w:rsidRPr="005B1175">
        <w:rPr>
          <w:rFonts w:ascii="Arial" w:hAnsi="Arial" w:cs="Arial"/>
          <w:b/>
          <w:color w:val="000000"/>
          <w:lang w:val="en-GB"/>
        </w:rPr>
        <w:t>Diversity</w:t>
      </w:r>
      <w:r>
        <w:rPr>
          <w:rFonts w:ascii="Arial" w:hAnsi="Arial" w:cs="Arial"/>
          <w:b/>
          <w:color w:val="000000"/>
          <w:lang w:val="en-GB"/>
        </w:rPr>
        <w:t xml:space="preserve">: </w:t>
      </w:r>
      <w:r w:rsidRPr="005B1175">
        <w:rPr>
          <w:rFonts w:ascii="Arial" w:hAnsi="Arial" w:cs="Arial"/>
          <w:lang w:val="en-GB"/>
        </w:rPr>
        <w:t>In the field of education, the concept of diversity can be a descriptor referring to the existence of a variety of cultures, religions, languages</w:t>
      </w:r>
      <w:r>
        <w:rPr>
          <w:rFonts w:ascii="Arial" w:hAnsi="Arial" w:cs="Arial"/>
          <w:lang w:val="en-GB"/>
        </w:rPr>
        <w:t>,</w:t>
      </w:r>
      <w:r w:rsidRPr="005B1175">
        <w:rPr>
          <w:rFonts w:ascii="Arial" w:hAnsi="Arial" w:cs="Arial"/>
          <w:lang w:val="en-GB"/>
        </w:rPr>
        <w:t xml:space="preserve"> etc. in a school</w:t>
      </w:r>
      <w:r>
        <w:rPr>
          <w:rFonts w:ascii="Arial" w:hAnsi="Arial" w:cs="Arial"/>
          <w:lang w:val="en-GB"/>
        </w:rPr>
        <w:t>; b</w:t>
      </w:r>
      <w:r w:rsidRPr="005B1175">
        <w:rPr>
          <w:rFonts w:ascii="Arial" w:hAnsi="Arial" w:cs="Arial"/>
          <w:lang w:val="en-GB"/>
        </w:rPr>
        <w:t>ut</w:t>
      </w:r>
      <w:r>
        <w:rPr>
          <w:rFonts w:ascii="Arial" w:hAnsi="Arial" w:cs="Arial"/>
          <w:lang w:val="en-GB"/>
        </w:rPr>
        <w:t>,</w:t>
      </w:r>
      <w:r w:rsidRPr="005B1175">
        <w:rPr>
          <w:rFonts w:ascii="Arial" w:hAnsi="Arial" w:cs="Arial"/>
          <w:lang w:val="en-GB"/>
        </w:rPr>
        <w:t xml:space="preserve"> in educational terms</w:t>
      </w:r>
      <w:r>
        <w:rPr>
          <w:rFonts w:ascii="Arial" w:hAnsi="Arial" w:cs="Arial"/>
          <w:lang w:val="en-GB"/>
        </w:rPr>
        <w:t>,</w:t>
      </w:r>
      <w:r w:rsidRPr="005B1175">
        <w:rPr>
          <w:rFonts w:ascii="Arial" w:hAnsi="Arial" w:cs="Arial"/>
          <w:lang w:val="en-GB"/>
        </w:rPr>
        <w:t xml:space="preserve"> it refers to acceptance and respect as well. It is about understanding each other and moving beyond </w:t>
      </w:r>
      <w:r>
        <w:rPr>
          <w:rFonts w:ascii="Arial" w:hAnsi="Arial" w:cs="Arial"/>
          <w:lang w:val="en-GB"/>
        </w:rPr>
        <w:t xml:space="preserve">the more </w:t>
      </w:r>
      <w:r w:rsidRPr="005B1175">
        <w:rPr>
          <w:rFonts w:ascii="Arial" w:hAnsi="Arial" w:cs="Arial"/>
          <w:lang w:val="en-GB"/>
        </w:rPr>
        <w:t xml:space="preserve">limited </w:t>
      </w:r>
      <w:r>
        <w:rPr>
          <w:rFonts w:ascii="Arial" w:hAnsi="Arial" w:cs="Arial"/>
          <w:lang w:val="en-GB"/>
        </w:rPr>
        <w:t>perspective</w:t>
      </w:r>
      <w:r w:rsidRPr="005B1175">
        <w:rPr>
          <w:rFonts w:ascii="Arial" w:hAnsi="Arial" w:cs="Arial"/>
          <w:lang w:val="en-GB"/>
        </w:rPr>
        <w:t xml:space="preserve"> of tolerance.</w:t>
      </w:r>
      <w:r w:rsidRPr="005B1175">
        <w:rPr>
          <w:rStyle w:val="FootnoteReference"/>
          <w:rFonts w:ascii="Arial" w:hAnsi="Arial" w:cs="Arial"/>
          <w:lang w:val="en-GB"/>
        </w:rPr>
        <w:footnoteReference w:id="25"/>
      </w: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color w:val="000000"/>
          <w:lang w:val="en-GB"/>
        </w:rPr>
      </w:pP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color w:val="000000"/>
          <w:lang w:val="en-GB"/>
        </w:rPr>
      </w:pPr>
      <w:r w:rsidRPr="005B1175">
        <w:rPr>
          <w:rFonts w:ascii="Arial" w:hAnsi="Arial" w:cs="Arial"/>
          <w:b/>
          <w:color w:val="000000"/>
          <w:lang w:val="en-GB"/>
        </w:rPr>
        <w:t xml:space="preserve">Equality and </w:t>
      </w:r>
      <w:r>
        <w:rPr>
          <w:rFonts w:ascii="Arial" w:hAnsi="Arial" w:cs="Arial"/>
          <w:b/>
          <w:color w:val="000000"/>
          <w:lang w:val="en-GB"/>
        </w:rPr>
        <w:t>e</w:t>
      </w:r>
      <w:r w:rsidRPr="005B1175">
        <w:rPr>
          <w:rFonts w:ascii="Arial" w:hAnsi="Arial" w:cs="Arial"/>
          <w:b/>
          <w:color w:val="000000"/>
          <w:lang w:val="en-GB"/>
        </w:rPr>
        <w:t xml:space="preserve">quity in </w:t>
      </w:r>
      <w:r>
        <w:rPr>
          <w:rFonts w:ascii="Arial" w:hAnsi="Arial" w:cs="Arial"/>
          <w:b/>
          <w:color w:val="000000"/>
          <w:lang w:val="en-GB"/>
        </w:rPr>
        <w:t>e</w:t>
      </w:r>
      <w:r w:rsidRPr="005B1175">
        <w:rPr>
          <w:rFonts w:ascii="Arial" w:hAnsi="Arial" w:cs="Arial"/>
          <w:b/>
          <w:color w:val="000000"/>
          <w:lang w:val="en-GB"/>
        </w:rPr>
        <w:t>ducation</w:t>
      </w:r>
      <w:r>
        <w:rPr>
          <w:rFonts w:ascii="Arial" w:hAnsi="Arial" w:cs="Arial"/>
          <w:b/>
          <w:color w:val="000000"/>
          <w:lang w:val="en-GB"/>
        </w:rPr>
        <w:t>:</w:t>
      </w:r>
      <w:r w:rsidRPr="005B1175">
        <w:rPr>
          <w:rFonts w:ascii="Arial" w:hAnsi="Arial" w:cs="Arial"/>
          <w:b/>
          <w:color w:val="000000"/>
          <w:lang w:val="en-GB"/>
        </w:rPr>
        <w:t xml:space="preserve"> </w:t>
      </w:r>
      <w:r w:rsidRPr="005B1175">
        <w:rPr>
          <w:rFonts w:ascii="Arial" w:hAnsi="Arial" w:cs="Arial"/>
          <w:lang w:val="en-GB"/>
        </w:rPr>
        <w:t xml:space="preserve">Equality in education tends to be built on </w:t>
      </w:r>
      <w:r>
        <w:rPr>
          <w:rFonts w:ascii="Arial" w:hAnsi="Arial" w:cs="Arial"/>
          <w:lang w:val="en-GB"/>
        </w:rPr>
        <w:t>the</w:t>
      </w:r>
      <w:r w:rsidRPr="005B1175">
        <w:rPr>
          <w:rFonts w:ascii="Arial" w:hAnsi="Arial" w:cs="Arial"/>
          <w:lang w:val="en-GB"/>
        </w:rPr>
        <w:t xml:space="preserve"> assumption that students should be treated the same, so that ‘one size fits all’, so as not to discriminate. </w:t>
      </w:r>
      <w:r>
        <w:rPr>
          <w:rFonts w:ascii="Arial" w:hAnsi="Arial" w:cs="Arial"/>
          <w:lang w:val="en-GB"/>
        </w:rPr>
        <w:t>The goal of e</w:t>
      </w:r>
      <w:r w:rsidRPr="005B1175">
        <w:rPr>
          <w:rFonts w:ascii="Arial" w:hAnsi="Arial" w:cs="Arial"/>
          <w:lang w:val="en-GB"/>
        </w:rPr>
        <w:t>quity in education</w:t>
      </w:r>
      <w:r>
        <w:rPr>
          <w:rFonts w:ascii="Arial" w:hAnsi="Arial" w:cs="Arial"/>
          <w:lang w:val="en-GB"/>
        </w:rPr>
        <w:t xml:space="preserve"> goes beyond the concept of equality,</w:t>
      </w:r>
      <w:r w:rsidRPr="005B1175">
        <w:rPr>
          <w:rFonts w:ascii="Arial" w:hAnsi="Arial" w:cs="Arial"/>
          <w:lang w:val="en-GB"/>
        </w:rPr>
        <w:t xml:space="preserve"> adopt</w:t>
      </w:r>
      <w:r>
        <w:rPr>
          <w:rFonts w:ascii="Arial" w:hAnsi="Arial" w:cs="Arial"/>
          <w:lang w:val="en-GB"/>
        </w:rPr>
        <w:t>ing</w:t>
      </w:r>
      <w:r w:rsidRPr="005B1175">
        <w:rPr>
          <w:rFonts w:ascii="Arial" w:hAnsi="Arial" w:cs="Arial"/>
          <w:lang w:val="en-GB"/>
        </w:rPr>
        <w:t xml:space="preserve"> a social justice, empowerment and critical thinking approach </w:t>
      </w:r>
      <w:r>
        <w:rPr>
          <w:rFonts w:ascii="Arial" w:eastAsia="Times New Roman" w:hAnsi="Arial" w:cs="Arial"/>
          <w:lang w:val="en-GB"/>
        </w:rPr>
        <w:t>through fostering</w:t>
      </w:r>
      <w:r w:rsidRPr="005B1175">
        <w:rPr>
          <w:rFonts w:ascii="Arial" w:eastAsia="Times New Roman" w:hAnsi="Arial" w:cs="Arial"/>
          <w:lang w:val="en-GB"/>
        </w:rPr>
        <w:t xml:space="preserve"> genuine and inclusive participation. It is recogni</w:t>
      </w:r>
      <w:r>
        <w:rPr>
          <w:rFonts w:ascii="Arial" w:eastAsia="Times New Roman" w:hAnsi="Arial" w:cs="Arial"/>
          <w:lang w:val="en-GB"/>
        </w:rPr>
        <w:t>s</w:t>
      </w:r>
      <w:r w:rsidRPr="005B1175">
        <w:rPr>
          <w:rFonts w:ascii="Arial" w:eastAsia="Times New Roman" w:hAnsi="Arial" w:cs="Arial"/>
          <w:lang w:val="en-GB"/>
        </w:rPr>
        <w:t>ed that students have different need</w:t>
      </w:r>
      <w:r>
        <w:rPr>
          <w:rFonts w:ascii="Arial" w:eastAsia="Times New Roman" w:hAnsi="Arial" w:cs="Arial"/>
          <w:lang w:val="en-GB"/>
        </w:rPr>
        <w:t>s, sometimes relating to (socio-</w:t>
      </w:r>
      <w:r w:rsidRPr="005B1175">
        <w:rPr>
          <w:rFonts w:ascii="Arial" w:eastAsia="Times New Roman" w:hAnsi="Arial" w:cs="Arial"/>
          <w:lang w:val="en-GB"/>
        </w:rPr>
        <w:t>) psychological, historical, and structural barriers.</w:t>
      </w:r>
      <w:r w:rsidRPr="005B1175">
        <w:rPr>
          <w:rStyle w:val="FootnoteReference"/>
          <w:rFonts w:ascii="Arial" w:eastAsia="Times New Roman" w:hAnsi="Arial" w:cs="Arial"/>
          <w:lang w:val="en-GB"/>
        </w:rPr>
        <w:footnoteReference w:id="26"/>
      </w:r>
      <w:r w:rsidRPr="005B1175">
        <w:rPr>
          <w:rFonts w:ascii="Arial" w:eastAsia="Times New Roman" w:hAnsi="Arial" w:cs="Arial"/>
          <w:lang w:val="en-GB"/>
        </w:rPr>
        <w:t xml:space="preserve"> </w:t>
      </w: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color w:val="000000"/>
          <w:lang w:val="en-GB"/>
        </w:rPr>
      </w:pP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color w:val="000000"/>
          <w:lang w:val="en-GB"/>
        </w:rPr>
      </w:pPr>
      <w:r w:rsidRPr="005B1175">
        <w:rPr>
          <w:rFonts w:ascii="Arial" w:hAnsi="Arial" w:cs="Arial"/>
          <w:b/>
          <w:color w:val="000000"/>
          <w:lang w:val="en-GB"/>
        </w:rPr>
        <w:lastRenderedPageBreak/>
        <w:t xml:space="preserve">Global </w:t>
      </w:r>
      <w:r>
        <w:rPr>
          <w:rFonts w:ascii="Arial" w:hAnsi="Arial" w:cs="Arial"/>
          <w:b/>
          <w:color w:val="000000"/>
          <w:lang w:val="en-GB"/>
        </w:rPr>
        <w:t>e</w:t>
      </w:r>
      <w:r w:rsidRPr="005B1175">
        <w:rPr>
          <w:rFonts w:ascii="Arial" w:hAnsi="Arial" w:cs="Arial"/>
          <w:b/>
          <w:color w:val="000000"/>
          <w:lang w:val="en-GB"/>
        </w:rPr>
        <w:t>ducation</w:t>
      </w:r>
      <w:r>
        <w:rPr>
          <w:rFonts w:ascii="Arial" w:hAnsi="Arial" w:cs="Arial"/>
          <w:b/>
          <w:color w:val="000000"/>
          <w:lang w:val="en-GB"/>
        </w:rPr>
        <w:t>:</w:t>
      </w:r>
      <w:r w:rsidRPr="005B1175">
        <w:rPr>
          <w:rFonts w:ascii="Arial" w:hAnsi="Arial" w:cs="Arial"/>
          <w:b/>
          <w:color w:val="000000"/>
          <w:lang w:val="en-GB"/>
        </w:rPr>
        <w:t xml:space="preserve"> </w:t>
      </w:r>
      <w:r w:rsidRPr="005B1175">
        <w:rPr>
          <w:rFonts w:ascii="Arial" w:hAnsi="Arial" w:cs="Arial"/>
          <w:lang w:val="en-GB"/>
        </w:rPr>
        <w:t>Global education (GE) is education that opens people’s eyes and minds to the realities of the world, and awakens them to bring about a world of greater justice, equity and human rights for all.</w:t>
      </w:r>
      <w:r w:rsidRPr="005B1175">
        <w:rPr>
          <w:rStyle w:val="FootnoteReference"/>
          <w:rFonts w:ascii="Arial" w:hAnsi="Arial" w:cs="Arial"/>
          <w:lang w:val="en-GB"/>
        </w:rPr>
        <w:footnoteReference w:id="27"/>
      </w:r>
      <w:r w:rsidRPr="005B1175">
        <w:rPr>
          <w:rFonts w:ascii="Arial" w:hAnsi="Arial" w:cs="Arial"/>
          <w:lang w:val="en-GB"/>
        </w:rPr>
        <w:t xml:space="preserve"> Global </w:t>
      </w:r>
      <w:r>
        <w:rPr>
          <w:rFonts w:ascii="Arial" w:hAnsi="Arial" w:cs="Arial"/>
          <w:lang w:val="en-GB"/>
        </w:rPr>
        <w:t>e</w:t>
      </w:r>
      <w:r w:rsidRPr="005B1175">
        <w:rPr>
          <w:rFonts w:ascii="Arial" w:hAnsi="Arial" w:cs="Arial"/>
          <w:lang w:val="en-GB"/>
        </w:rPr>
        <w:t xml:space="preserve">ducation is understood to encompass </w:t>
      </w:r>
      <w:r>
        <w:rPr>
          <w:rFonts w:ascii="Arial" w:hAnsi="Arial" w:cs="Arial"/>
          <w:lang w:val="en-GB"/>
        </w:rPr>
        <w:t>d</w:t>
      </w:r>
      <w:r w:rsidRPr="005B1175">
        <w:rPr>
          <w:rFonts w:ascii="Arial" w:hAnsi="Arial" w:cs="Arial"/>
          <w:lang w:val="en-GB"/>
        </w:rPr>
        <w:t xml:space="preserve">evelopment </w:t>
      </w:r>
      <w:r>
        <w:rPr>
          <w:rFonts w:ascii="Arial" w:hAnsi="Arial" w:cs="Arial"/>
          <w:lang w:val="en-GB"/>
        </w:rPr>
        <w:t>e</w:t>
      </w:r>
      <w:r w:rsidRPr="005B1175">
        <w:rPr>
          <w:rFonts w:ascii="Arial" w:hAnsi="Arial" w:cs="Arial"/>
          <w:lang w:val="en-GB"/>
        </w:rPr>
        <w:t xml:space="preserve">ducation, </w:t>
      </w:r>
      <w:r>
        <w:rPr>
          <w:rFonts w:ascii="Arial" w:hAnsi="Arial" w:cs="Arial"/>
          <w:lang w:val="en-GB"/>
        </w:rPr>
        <w:t>h</w:t>
      </w:r>
      <w:r w:rsidRPr="005B1175">
        <w:rPr>
          <w:rFonts w:ascii="Arial" w:hAnsi="Arial" w:cs="Arial"/>
          <w:lang w:val="en-GB"/>
        </w:rPr>
        <w:t xml:space="preserve">uman </w:t>
      </w:r>
      <w:r>
        <w:rPr>
          <w:rFonts w:ascii="Arial" w:hAnsi="Arial" w:cs="Arial"/>
          <w:lang w:val="en-GB"/>
        </w:rPr>
        <w:t>r</w:t>
      </w:r>
      <w:r w:rsidRPr="005B1175">
        <w:rPr>
          <w:rFonts w:ascii="Arial" w:hAnsi="Arial" w:cs="Arial"/>
          <w:lang w:val="en-GB"/>
        </w:rPr>
        <w:t xml:space="preserve">ights </w:t>
      </w:r>
      <w:r>
        <w:rPr>
          <w:rFonts w:ascii="Arial" w:hAnsi="Arial" w:cs="Arial"/>
          <w:lang w:val="en-GB"/>
        </w:rPr>
        <w:t>e</w:t>
      </w:r>
      <w:r w:rsidRPr="005B1175">
        <w:rPr>
          <w:rFonts w:ascii="Arial" w:hAnsi="Arial" w:cs="Arial"/>
          <w:lang w:val="en-GB"/>
        </w:rPr>
        <w:t xml:space="preserve">ducation, </w:t>
      </w:r>
      <w:r>
        <w:rPr>
          <w:rFonts w:ascii="Arial" w:hAnsi="Arial" w:cs="Arial"/>
          <w:lang w:val="en-GB"/>
        </w:rPr>
        <w:t>e</w:t>
      </w:r>
      <w:r w:rsidRPr="005B1175">
        <w:rPr>
          <w:rFonts w:ascii="Arial" w:hAnsi="Arial" w:cs="Arial"/>
          <w:lang w:val="en-GB"/>
        </w:rPr>
        <w:t xml:space="preserve">ducation for </w:t>
      </w:r>
      <w:r>
        <w:rPr>
          <w:rFonts w:ascii="Arial" w:hAnsi="Arial" w:cs="Arial"/>
          <w:lang w:val="en-GB"/>
        </w:rPr>
        <w:t>s</w:t>
      </w:r>
      <w:r w:rsidRPr="005B1175">
        <w:rPr>
          <w:rFonts w:ascii="Arial" w:hAnsi="Arial" w:cs="Arial"/>
          <w:lang w:val="en-GB"/>
        </w:rPr>
        <w:t xml:space="preserve">ustainability, </w:t>
      </w:r>
      <w:r>
        <w:rPr>
          <w:rFonts w:ascii="Arial" w:hAnsi="Arial" w:cs="Arial"/>
          <w:lang w:val="en-GB"/>
        </w:rPr>
        <w:t>e</w:t>
      </w:r>
      <w:r w:rsidRPr="005B1175">
        <w:rPr>
          <w:rFonts w:ascii="Arial" w:hAnsi="Arial" w:cs="Arial"/>
          <w:lang w:val="en-GB"/>
        </w:rPr>
        <w:t>ducation for</w:t>
      </w:r>
      <w:r>
        <w:rPr>
          <w:rFonts w:ascii="Arial" w:hAnsi="Arial" w:cs="Arial"/>
          <w:lang w:val="en-GB"/>
        </w:rPr>
        <w:t xml:space="preserve"> p</w:t>
      </w:r>
      <w:r w:rsidRPr="005B1175">
        <w:rPr>
          <w:rFonts w:ascii="Arial" w:hAnsi="Arial" w:cs="Arial"/>
          <w:lang w:val="en-GB"/>
        </w:rPr>
        <w:t xml:space="preserve">eace and </w:t>
      </w:r>
      <w:r>
        <w:rPr>
          <w:rFonts w:ascii="Arial" w:hAnsi="Arial" w:cs="Arial"/>
          <w:lang w:val="en-GB"/>
        </w:rPr>
        <w:t>c</w:t>
      </w:r>
      <w:r w:rsidRPr="005B1175">
        <w:rPr>
          <w:rFonts w:ascii="Arial" w:hAnsi="Arial" w:cs="Arial"/>
          <w:lang w:val="en-GB"/>
        </w:rPr>
        <w:t xml:space="preserve">onflict </w:t>
      </w:r>
      <w:r>
        <w:rPr>
          <w:rFonts w:ascii="Arial" w:hAnsi="Arial" w:cs="Arial"/>
          <w:lang w:val="en-GB"/>
        </w:rPr>
        <w:t>p</w:t>
      </w:r>
      <w:r w:rsidRPr="005B1175">
        <w:rPr>
          <w:rFonts w:ascii="Arial" w:hAnsi="Arial" w:cs="Arial"/>
          <w:lang w:val="en-GB"/>
        </w:rPr>
        <w:t xml:space="preserve">revention and </w:t>
      </w:r>
      <w:r>
        <w:rPr>
          <w:rFonts w:ascii="Arial" w:hAnsi="Arial" w:cs="Arial"/>
          <w:lang w:val="en-GB"/>
        </w:rPr>
        <w:t>i</w:t>
      </w:r>
      <w:r w:rsidRPr="005B1175">
        <w:rPr>
          <w:rFonts w:ascii="Arial" w:hAnsi="Arial" w:cs="Arial"/>
          <w:lang w:val="en-GB"/>
        </w:rPr>
        <w:t xml:space="preserve">ntercultural </w:t>
      </w:r>
      <w:r>
        <w:rPr>
          <w:rFonts w:ascii="Arial" w:hAnsi="Arial" w:cs="Arial"/>
          <w:lang w:val="en-GB"/>
        </w:rPr>
        <w:t>e</w:t>
      </w:r>
      <w:r w:rsidRPr="005B1175">
        <w:rPr>
          <w:rFonts w:ascii="Arial" w:hAnsi="Arial" w:cs="Arial"/>
          <w:lang w:val="en-GB"/>
        </w:rPr>
        <w:t xml:space="preserve">ducation; being the global dimensions of </w:t>
      </w:r>
      <w:r>
        <w:rPr>
          <w:rFonts w:ascii="Arial" w:hAnsi="Arial" w:cs="Arial"/>
          <w:lang w:val="en-GB"/>
        </w:rPr>
        <w:t>e</w:t>
      </w:r>
      <w:r w:rsidRPr="005B1175">
        <w:rPr>
          <w:rFonts w:ascii="Arial" w:hAnsi="Arial" w:cs="Arial"/>
          <w:lang w:val="en-GB"/>
        </w:rPr>
        <w:t xml:space="preserve">ducation for </w:t>
      </w:r>
      <w:r>
        <w:rPr>
          <w:rFonts w:ascii="Arial" w:hAnsi="Arial" w:cs="Arial"/>
          <w:lang w:val="en-GB"/>
        </w:rPr>
        <w:t>c</w:t>
      </w:r>
      <w:r w:rsidRPr="005B1175">
        <w:rPr>
          <w:rFonts w:ascii="Arial" w:hAnsi="Arial" w:cs="Arial"/>
          <w:lang w:val="en-GB"/>
        </w:rPr>
        <w:t>itizenship.</w:t>
      </w: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color w:val="000000"/>
          <w:lang w:val="en-GB"/>
        </w:rPr>
      </w:pPr>
    </w:p>
    <w:p w:rsidR="0077627C" w:rsidRPr="00AF756E" w:rsidRDefault="0077627C" w:rsidP="0077627C">
      <w:pPr>
        <w:pStyle w:val="ox-b3f2d9ec33-msonormal"/>
        <w:shd w:val="clear" w:color="auto" w:fill="FFFFFF"/>
        <w:spacing w:before="0" w:beforeAutospacing="0" w:after="0" w:afterAutospacing="0" w:line="269" w:lineRule="auto"/>
        <w:jc w:val="both"/>
        <w:rPr>
          <w:rFonts w:ascii="Arial" w:hAnsi="Arial" w:cs="Arial"/>
          <w:lang w:val="en-GB"/>
        </w:rPr>
      </w:pPr>
      <w:r w:rsidRPr="005B1175">
        <w:rPr>
          <w:rFonts w:ascii="Arial" w:hAnsi="Arial" w:cs="Arial"/>
          <w:b/>
          <w:color w:val="000000"/>
          <w:lang w:val="en-GB"/>
        </w:rPr>
        <w:t xml:space="preserve">Inclusive </w:t>
      </w:r>
      <w:r>
        <w:rPr>
          <w:rFonts w:ascii="Arial" w:hAnsi="Arial" w:cs="Arial"/>
          <w:b/>
          <w:color w:val="000000"/>
          <w:lang w:val="en-GB"/>
        </w:rPr>
        <w:t>e</w:t>
      </w:r>
      <w:r w:rsidRPr="005B1175">
        <w:rPr>
          <w:rFonts w:ascii="Arial" w:hAnsi="Arial" w:cs="Arial"/>
          <w:b/>
          <w:color w:val="000000"/>
          <w:lang w:val="en-GB"/>
        </w:rPr>
        <w:t>ducation</w:t>
      </w:r>
      <w:r>
        <w:rPr>
          <w:rFonts w:ascii="Arial" w:hAnsi="Arial" w:cs="Arial"/>
          <w:b/>
          <w:color w:val="000000"/>
          <w:lang w:val="en-GB"/>
        </w:rPr>
        <w:t>:</w:t>
      </w:r>
      <w:r w:rsidRPr="005B1175">
        <w:rPr>
          <w:rFonts w:ascii="Arial" w:hAnsi="Arial" w:cs="Arial"/>
          <w:b/>
          <w:color w:val="000000"/>
          <w:lang w:val="en-GB"/>
        </w:rPr>
        <w:t xml:space="preserve"> </w:t>
      </w:r>
      <w:r w:rsidRPr="00AF756E">
        <w:rPr>
          <w:rFonts w:ascii="Arial" w:hAnsi="Arial" w:cs="Arial"/>
          <w:lang w:val="en-GB"/>
        </w:rPr>
        <w:t>Inclusive education aims to allow all learners to achieve their full potential by providing good quality education to all in mainstream settings with special attention to learners at risk of exclusion and underachievement by actively seeking out to support them and responding flexibly to the circumstances and needs of all learners</w:t>
      </w:r>
      <w:r>
        <w:rPr>
          <w:rFonts w:ascii="Arial" w:hAnsi="Arial" w:cs="Arial"/>
          <w:lang w:val="en-GB"/>
        </w:rPr>
        <w:t>, including through individualis</w:t>
      </w:r>
      <w:r w:rsidRPr="00AF756E">
        <w:rPr>
          <w:rFonts w:ascii="Arial" w:hAnsi="Arial" w:cs="Arial"/>
          <w:lang w:val="en-GB"/>
        </w:rPr>
        <w:t>ed approaches, targeted support and cooperation with the families and local communities.</w:t>
      </w:r>
    </w:p>
    <w:p w:rsidR="0077627C" w:rsidRDefault="0077627C" w:rsidP="0077627C">
      <w:pPr>
        <w:pStyle w:val="ox-b3f2d9ec33-msonormal"/>
        <w:shd w:val="clear" w:color="auto" w:fill="FFFFFF"/>
        <w:spacing w:before="0" w:beforeAutospacing="0" w:after="0" w:afterAutospacing="0" w:line="269" w:lineRule="auto"/>
        <w:jc w:val="both"/>
        <w:rPr>
          <w:rFonts w:ascii="Arial" w:eastAsia="Times New Roman" w:hAnsi="Arial" w:cs="Arial"/>
          <w:lang w:val="en-GB"/>
        </w:rPr>
      </w:pPr>
    </w:p>
    <w:p w:rsidR="0077627C" w:rsidRPr="00453B4E" w:rsidRDefault="0077627C" w:rsidP="0077627C">
      <w:pPr>
        <w:pStyle w:val="ox-b3f2d9ec33-msonormal"/>
        <w:shd w:val="clear" w:color="auto" w:fill="FFFFFF"/>
        <w:spacing w:before="0" w:beforeAutospacing="0" w:after="0" w:afterAutospacing="0" w:line="269" w:lineRule="auto"/>
        <w:jc w:val="both"/>
        <w:rPr>
          <w:rFonts w:ascii="Arial" w:hAnsi="Arial" w:cs="Arial"/>
          <w:b/>
          <w:i/>
          <w:lang w:val="en-GB"/>
        </w:rPr>
      </w:pPr>
      <w:r w:rsidRPr="00453B4E">
        <w:rPr>
          <w:rFonts w:ascii="Arial" w:hAnsi="Arial" w:cs="Arial"/>
          <w:b/>
          <w:color w:val="000000"/>
          <w:lang w:val="en-GB"/>
        </w:rPr>
        <w:t xml:space="preserve">Intercultural </w:t>
      </w:r>
      <w:r w:rsidRPr="00453B4E">
        <w:rPr>
          <w:rFonts w:ascii="Arial" w:eastAsia="Times New Roman" w:hAnsi="Arial" w:cs="Arial"/>
          <w:b/>
          <w:color w:val="000000"/>
          <w:shd w:val="clear" w:color="auto" w:fill="FFFFFF"/>
          <w:lang w:val="en-GB"/>
        </w:rPr>
        <w:t>dialogue:</w:t>
      </w:r>
      <w:r w:rsidRPr="00453B4E">
        <w:rPr>
          <w:rFonts w:ascii="Arial" w:eastAsia="Times New Roman" w:hAnsi="Arial" w:cs="Arial"/>
          <w:color w:val="000000"/>
          <w:shd w:val="clear" w:color="auto" w:fill="FFFFFF"/>
          <w:lang w:val="en-GB"/>
        </w:rPr>
        <w:t xml:space="preserve"> In</w:t>
      </w:r>
      <w:r w:rsidRPr="00453B4E">
        <w:rPr>
          <w:rFonts w:ascii="Arial" w:hAnsi="Arial" w:cs="Arial"/>
          <w:iCs/>
          <w:color w:val="000000"/>
        </w:rPr>
        <w:t>tercultural</w:t>
      </w:r>
      <w:r w:rsidRPr="00453B4E">
        <w:rPr>
          <w:rStyle w:val="Emphasis"/>
          <w:rFonts w:ascii="Arial" w:eastAsia="Times New Roman" w:hAnsi="Arial" w:cs="Arial"/>
          <w:bCs/>
          <w:shd w:val="clear" w:color="auto" w:fill="FFFFFF"/>
          <w:lang w:val="en-GB"/>
        </w:rPr>
        <w:t xml:space="preserve"> dialogue is a process that comprises an open and respectful exchange or interaction between individuals, groups and organisations with different cultural backgrounds or worldviews.</w:t>
      </w:r>
      <w:r w:rsidRPr="00453B4E">
        <w:rPr>
          <w:rStyle w:val="FootnoteReference"/>
          <w:rFonts w:ascii="Arial" w:eastAsia="Times New Roman" w:hAnsi="Arial" w:cs="Arial"/>
          <w:bCs/>
          <w:i/>
          <w:iCs/>
          <w:shd w:val="clear" w:color="auto" w:fill="FFFFFF"/>
          <w:lang w:val="en-GB"/>
        </w:rPr>
        <w:footnoteReference w:id="28"/>
      </w:r>
      <w:r w:rsidRPr="00453B4E">
        <w:rPr>
          <w:rStyle w:val="Emphasis"/>
          <w:rFonts w:ascii="Arial" w:eastAsia="Times New Roman" w:hAnsi="Arial" w:cs="Arial"/>
          <w:bCs/>
          <w:shd w:val="clear" w:color="auto" w:fill="FFFFFF"/>
          <w:lang w:val="en-GB"/>
        </w:rPr>
        <w:t> </w:t>
      </w: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i/>
          <w:color w:val="000000"/>
          <w:lang w:val="en-GB"/>
        </w:rPr>
      </w:pP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color w:val="000000"/>
          <w:lang w:val="en-GB"/>
        </w:rPr>
      </w:pPr>
      <w:r w:rsidRPr="005B1175">
        <w:rPr>
          <w:rFonts w:ascii="Arial" w:hAnsi="Arial" w:cs="Arial"/>
          <w:b/>
          <w:color w:val="000000"/>
          <w:lang w:val="en-GB"/>
        </w:rPr>
        <w:t>Intercultura</w:t>
      </w:r>
      <w:r>
        <w:rPr>
          <w:rFonts w:ascii="Arial" w:hAnsi="Arial" w:cs="Arial"/>
          <w:b/>
          <w:color w:val="000000"/>
          <w:lang w:val="en-GB"/>
        </w:rPr>
        <w:t>l/m</w:t>
      </w:r>
      <w:r w:rsidRPr="005B1175">
        <w:rPr>
          <w:rFonts w:ascii="Arial" w:hAnsi="Arial" w:cs="Arial"/>
          <w:b/>
          <w:color w:val="000000"/>
          <w:lang w:val="en-GB"/>
        </w:rPr>
        <w:t xml:space="preserve">ulticultural </w:t>
      </w:r>
      <w:r>
        <w:rPr>
          <w:rFonts w:ascii="Arial" w:hAnsi="Arial" w:cs="Arial"/>
          <w:b/>
          <w:color w:val="000000"/>
          <w:lang w:val="en-GB"/>
        </w:rPr>
        <w:t>e</w:t>
      </w:r>
      <w:r w:rsidRPr="005B1175">
        <w:rPr>
          <w:rFonts w:ascii="Arial" w:hAnsi="Arial" w:cs="Arial"/>
          <w:b/>
          <w:color w:val="000000"/>
          <w:lang w:val="en-GB"/>
        </w:rPr>
        <w:t>ducation</w:t>
      </w:r>
      <w:r>
        <w:rPr>
          <w:rFonts w:ascii="Arial" w:hAnsi="Arial" w:cs="Arial"/>
          <w:b/>
          <w:color w:val="000000"/>
          <w:lang w:val="en-GB"/>
        </w:rPr>
        <w:t>:</w:t>
      </w:r>
      <w:r w:rsidRPr="005B1175">
        <w:rPr>
          <w:rFonts w:ascii="Arial" w:hAnsi="Arial" w:cs="Arial"/>
          <w:b/>
          <w:color w:val="000000"/>
          <w:lang w:val="en-GB"/>
        </w:rPr>
        <w:t xml:space="preserve"> </w:t>
      </w:r>
      <w:r w:rsidRPr="005B1175">
        <w:rPr>
          <w:rFonts w:ascii="Arial" w:hAnsi="Arial" w:cs="Arial"/>
          <w:lang w:val="en-GB"/>
        </w:rPr>
        <w:t>The terms intercultural and multicultural education have often been used interchangeably. Although they might differ in emphasis, in essence they both refer to an educational approach in which people from different cultures interact to reflect on their own and each other’s cultures. This approach recognises the inequalities at work in society and the need to overcome the</w:t>
      </w:r>
      <w:r w:rsidR="00E457BC">
        <w:rPr>
          <w:rFonts w:ascii="Arial" w:hAnsi="Arial" w:cs="Arial"/>
          <w:lang w:val="en-GB"/>
        </w:rPr>
        <w:t>m</w:t>
      </w:r>
      <w:r w:rsidRPr="005B1175">
        <w:rPr>
          <w:rFonts w:ascii="Arial" w:hAnsi="Arial" w:cs="Arial"/>
          <w:lang w:val="en-GB"/>
        </w:rPr>
        <w:t xml:space="preserve">. Key features are mutual respect and the acknowledgment of human rights as well as openness and interaction. Cultures are viewed as dynamic and evolving, </w:t>
      </w:r>
      <w:r>
        <w:rPr>
          <w:rFonts w:ascii="Arial" w:hAnsi="Arial" w:cs="Arial"/>
          <w:lang w:val="en-GB"/>
        </w:rPr>
        <w:t xml:space="preserve">rather than </w:t>
      </w:r>
      <w:r w:rsidRPr="005B1175">
        <w:rPr>
          <w:rFonts w:ascii="Arial" w:hAnsi="Arial" w:cs="Arial"/>
          <w:lang w:val="en-GB"/>
        </w:rPr>
        <w:t>static and deterministic.</w:t>
      </w: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lang w:val="en-GB"/>
        </w:rPr>
      </w:pP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color w:val="000000"/>
          <w:lang w:val="en-GB"/>
        </w:rPr>
      </w:pPr>
      <w:r w:rsidRPr="005B1175">
        <w:rPr>
          <w:rFonts w:ascii="Arial" w:hAnsi="Arial" w:cs="Arial"/>
          <w:b/>
          <w:color w:val="000000"/>
          <w:lang w:val="en-GB"/>
        </w:rPr>
        <w:t>Integration</w:t>
      </w:r>
      <w:r w:rsidR="00E457BC">
        <w:rPr>
          <w:rFonts w:ascii="Arial" w:hAnsi="Arial" w:cs="Arial"/>
          <w:b/>
          <w:color w:val="000000"/>
          <w:lang w:val="en-GB"/>
        </w:rPr>
        <w:t>:</w:t>
      </w:r>
      <w:r w:rsidRPr="005B1175">
        <w:rPr>
          <w:rFonts w:ascii="Arial" w:hAnsi="Arial" w:cs="Arial"/>
          <w:b/>
          <w:color w:val="000000"/>
          <w:lang w:val="en-GB"/>
        </w:rPr>
        <w:t xml:space="preserve"> </w:t>
      </w:r>
      <w:r w:rsidRPr="005B1175">
        <w:rPr>
          <w:rFonts w:ascii="Arial" w:hAnsi="Arial" w:cs="Arial"/>
          <w:lang w:val="en-GB"/>
        </w:rPr>
        <w:t>Integration refers to a dynamic two-way process of mutual accommodation. Integration does not only refer to migrants</w:t>
      </w:r>
      <w:r>
        <w:rPr>
          <w:rFonts w:ascii="Arial" w:hAnsi="Arial" w:cs="Arial"/>
          <w:lang w:val="en-GB"/>
        </w:rPr>
        <w:t>, traditionally excluded minorities and other disadvantaged communities</w:t>
      </w:r>
      <w:r w:rsidRPr="005B1175">
        <w:rPr>
          <w:rFonts w:ascii="Arial" w:hAnsi="Arial" w:cs="Arial"/>
          <w:lang w:val="en-GB"/>
        </w:rPr>
        <w:t xml:space="preserve"> receiving the tools to be able to succeed and better fit into a new society, but a process of mutual acceptance and respect. There is a focus on removing the barriers that stop migrants and other minorities from being included. Such barriers are multiple and can include language barriers, racial, sexual and cultural discrimination and restrictions arising from immigration policies.</w:t>
      </w: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color w:val="000000"/>
          <w:lang w:val="en-GB"/>
        </w:rPr>
      </w:pP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color w:val="000000"/>
          <w:lang w:val="en-GB"/>
        </w:rPr>
      </w:pPr>
      <w:r w:rsidRPr="005B1175">
        <w:rPr>
          <w:rFonts w:ascii="Arial" w:hAnsi="Arial" w:cs="Arial"/>
          <w:b/>
          <w:color w:val="000000"/>
          <w:lang w:val="en-GB"/>
        </w:rPr>
        <w:t xml:space="preserve">Media </w:t>
      </w:r>
      <w:r>
        <w:rPr>
          <w:rFonts w:ascii="Arial" w:hAnsi="Arial" w:cs="Arial"/>
          <w:b/>
          <w:color w:val="000000"/>
          <w:lang w:val="en-GB"/>
        </w:rPr>
        <w:t>l</w:t>
      </w:r>
      <w:r w:rsidRPr="005B1175">
        <w:rPr>
          <w:rFonts w:ascii="Arial" w:hAnsi="Arial" w:cs="Arial"/>
          <w:b/>
          <w:color w:val="000000"/>
          <w:lang w:val="en-GB"/>
        </w:rPr>
        <w:t>iteracy</w:t>
      </w:r>
      <w:r>
        <w:rPr>
          <w:rFonts w:ascii="Arial" w:hAnsi="Arial" w:cs="Arial"/>
          <w:b/>
          <w:color w:val="000000"/>
          <w:lang w:val="en-GB"/>
        </w:rPr>
        <w:t>:</w:t>
      </w:r>
      <w:r w:rsidRPr="005B1175">
        <w:rPr>
          <w:rFonts w:ascii="Arial" w:hAnsi="Arial" w:cs="Arial"/>
          <w:b/>
          <w:color w:val="000000"/>
          <w:lang w:val="en-GB"/>
        </w:rPr>
        <w:t xml:space="preserve"> </w:t>
      </w:r>
      <w:r w:rsidRPr="005B1175">
        <w:rPr>
          <w:rFonts w:ascii="Arial" w:hAnsi="Arial" w:cs="Arial"/>
          <w:lang w:val="en-GB"/>
        </w:rPr>
        <w:t xml:space="preserve">Media </w:t>
      </w:r>
      <w:r>
        <w:rPr>
          <w:rFonts w:ascii="Arial" w:hAnsi="Arial" w:cs="Arial"/>
          <w:lang w:val="en-GB"/>
        </w:rPr>
        <w:t>l</w:t>
      </w:r>
      <w:r w:rsidRPr="005B1175">
        <w:rPr>
          <w:rFonts w:ascii="Arial" w:hAnsi="Arial" w:cs="Arial"/>
          <w:lang w:val="en-GB"/>
        </w:rPr>
        <w:t>iteracy is the ability to access the media, to understand and critically evaluate different aspects of the media and media contexts and to create communications in a variety of contexts</w:t>
      </w:r>
      <w:r w:rsidRPr="005B1175">
        <w:rPr>
          <w:rStyle w:val="FootnoteReference"/>
          <w:rFonts w:ascii="Arial" w:hAnsi="Arial" w:cs="Arial"/>
          <w:lang w:val="en-GB"/>
        </w:rPr>
        <w:footnoteReference w:id="29"/>
      </w:r>
      <w:r w:rsidRPr="005B1175">
        <w:rPr>
          <w:rFonts w:ascii="Arial" w:hAnsi="Arial" w:cs="Arial"/>
          <w:lang w:val="en-GB"/>
        </w:rPr>
        <w:t>. This definition is built on three key elements (and related competences): 1) access to media and media content; 2) critical ability to decipher media messages, awareness of how the media work; and 3) creativity, communication and production skills.</w:t>
      </w: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color w:val="000000"/>
          <w:lang w:val="en-GB"/>
        </w:rPr>
      </w:pPr>
    </w:p>
    <w:p w:rsidR="0077627C" w:rsidRDefault="0077627C" w:rsidP="0077627C">
      <w:pPr>
        <w:pStyle w:val="ox-b3f2d9ec33-msonormal"/>
        <w:shd w:val="clear" w:color="auto" w:fill="FFFFFF"/>
        <w:spacing w:before="0" w:beforeAutospacing="0" w:after="0" w:afterAutospacing="0" w:line="269" w:lineRule="auto"/>
        <w:jc w:val="both"/>
        <w:rPr>
          <w:rFonts w:ascii="Arial" w:eastAsia="Times New Roman" w:hAnsi="Arial" w:cs="Arial"/>
          <w:lang w:val="en-GB"/>
        </w:rPr>
      </w:pPr>
      <w:r w:rsidRPr="005B1175">
        <w:rPr>
          <w:rFonts w:ascii="Arial" w:hAnsi="Arial" w:cs="Arial"/>
          <w:b/>
          <w:color w:val="000000"/>
          <w:lang w:val="en-GB"/>
        </w:rPr>
        <w:t xml:space="preserve">Segregation and </w:t>
      </w:r>
      <w:r>
        <w:rPr>
          <w:rFonts w:ascii="Arial" w:hAnsi="Arial" w:cs="Arial"/>
          <w:b/>
          <w:color w:val="000000"/>
          <w:lang w:val="en-GB"/>
        </w:rPr>
        <w:t>d</w:t>
      </w:r>
      <w:r w:rsidRPr="005B1175">
        <w:rPr>
          <w:rFonts w:ascii="Arial" w:hAnsi="Arial" w:cs="Arial"/>
          <w:b/>
          <w:color w:val="000000"/>
          <w:lang w:val="en-GB"/>
        </w:rPr>
        <w:t>esegregation</w:t>
      </w:r>
      <w:r>
        <w:rPr>
          <w:rFonts w:ascii="Arial" w:hAnsi="Arial" w:cs="Arial"/>
          <w:b/>
          <w:color w:val="000000"/>
          <w:lang w:val="en-GB"/>
        </w:rPr>
        <w:t>:</w:t>
      </w:r>
      <w:r w:rsidRPr="005B1175">
        <w:rPr>
          <w:rFonts w:ascii="Arial" w:hAnsi="Arial" w:cs="Arial"/>
          <w:b/>
          <w:color w:val="000000"/>
          <w:lang w:val="en-GB"/>
        </w:rPr>
        <w:t xml:space="preserve"> </w:t>
      </w:r>
      <w:r w:rsidRPr="005B1175">
        <w:rPr>
          <w:rFonts w:ascii="Arial" w:hAnsi="Arial" w:cs="Arial"/>
          <w:lang w:val="en-GB"/>
        </w:rPr>
        <w:t>Segregation can be characterised by the physical and social separation of members of a marginalised group from members of non-marginalised groups and unequal access to mainstream, inclusive and high-quality services</w:t>
      </w:r>
      <w:r>
        <w:rPr>
          <w:rFonts w:ascii="Arial" w:hAnsi="Arial" w:cs="Arial"/>
          <w:lang w:val="en-GB"/>
        </w:rPr>
        <w:t>, including education</w:t>
      </w:r>
      <w:r w:rsidRPr="005B1175">
        <w:rPr>
          <w:rFonts w:ascii="Arial" w:hAnsi="Arial" w:cs="Arial"/>
          <w:lang w:val="en-GB"/>
        </w:rPr>
        <w:t>.</w:t>
      </w:r>
      <w:r w:rsidRPr="005B1175">
        <w:rPr>
          <w:rStyle w:val="FootnoteReference"/>
          <w:rFonts w:ascii="Arial" w:hAnsi="Arial" w:cs="Arial"/>
          <w:lang w:val="en-GB"/>
        </w:rPr>
        <w:footnoteReference w:id="30"/>
      </w:r>
      <w:r w:rsidRPr="005B1175">
        <w:rPr>
          <w:rFonts w:ascii="Arial" w:hAnsi="Arial" w:cs="Arial"/>
          <w:lang w:val="en-GB"/>
        </w:rPr>
        <w:t xml:space="preserve"> </w:t>
      </w:r>
      <w:r>
        <w:rPr>
          <w:rFonts w:ascii="Arial" w:hAnsi="Arial" w:cs="Arial"/>
          <w:lang w:val="en-GB"/>
        </w:rPr>
        <w:t>D</w:t>
      </w:r>
      <w:r w:rsidRPr="005B1175">
        <w:rPr>
          <w:rFonts w:ascii="Arial" w:eastAsia="Times New Roman" w:hAnsi="Arial" w:cs="Arial"/>
          <w:lang w:val="en-GB"/>
        </w:rPr>
        <w:t xml:space="preserve">esegregation is defined as the action to eliminate segregation. Desegregation interventions </w:t>
      </w:r>
      <w:r w:rsidRPr="005B1175">
        <w:rPr>
          <w:rFonts w:ascii="Arial" w:eastAsia="Times New Roman" w:hAnsi="Arial" w:cs="Arial"/>
          <w:lang w:val="en-GB"/>
        </w:rPr>
        <w:lastRenderedPageBreak/>
        <w:t xml:space="preserve">should establish the conditions for equal access to high-quality services, including education, housing, labour market, health and any other relevant field. </w:t>
      </w:r>
    </w:p>
    <w:p w:rsidR="0077627C" w:rsidRDefault="0077627C" w:rsidP="0077627C">
      <w:pPr>
        <w:pStyle w:val="ox-b3f2d9ec33-msonormal"/>
        <w:shd w:val="clear" w:color="auto" w:fill="FFFFFF"/>
        <w:spacing w:before="0" w:beforeAutospacing="0" w:after="0" w:afterAutospacing="0" w:line="269" w:lineRule="auto"/>
        <w:jc w:val="both"/>
        <w:rPr>
          <w:rFonts w:ascii="Arial" w:eastAsia="Times New Roman" w:hAnsi="Arial" w:cs="Arial"/>
          <w:lang w:val="en-GB"/>
        </w:rPr>
      </w:pP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lang w:val="en-GB"/>
        </w:rPr>
      </w:pPr>
      <w:r>
        <w:rPr>
          <w:rFonts w:ascii="Arial" w:hAnsi="Arial" w:cs="Arial"/>
          <w:b/>
          <w:lang w:val="en-GB"/>
        </w:rPr>
        <w:t>Social and civic</w:t>
      </w:r>
      <w:r w:rsidRPr="005B1175">
        <w:rPr>
          <w:rFonts w:ascii="Arial" w:hAnsi="Arial" w:cs="Arial"/>
          <w:b/>
          <w:lang w:val="en-GB"/>
        </w:rPr>
        <w:t xml:space="preserve"> competences:  </w:t>
      </w:r>
      <w:r w:rsidRPr="005B1175">
        <w:rPr>
          <w:rFonts w:ascii="Arial" w:eastAsia="Times New Roman" w:hAnsi="Arial" w:cs="Arial"/>
          <w:shd w:val="clear" w:color="auto" w:fill="FFFFFF"/>
          <w:lang w:val="en-GB"/>
        </w:rPr>
        <w:t xml:space="preserve">The European Commission has defined key competences – knowledge, skills, and attitudes that will help learners find personal fulfilment and, later in life, find work and take part </w:t>
      </w:r>
      <w:r>
        <w:rPr>
          <w:rFonts w:ascii="Arial" w:eastAsia="Times New Roman" w:hAnsi="Arial" w:cs="Arial"/>
          <w:shd w:val="clear" w:color="auto" w:fill="FFFFFF"/>
          <w:lang w:val="en-GB"/>
        </w:rPr>
        <w:t>in society</w:t>
      </w:r>
      <w:r w:rsidRPr="00524BEA">
        <w:rPr>
          <w:rStyle w:val="FootnoteReference"/>
          <w:rFonts w:ascii="Arial" w:eastAsia="Times New Roman" w:hAnsi="Arial" w:cs="Arial"/>
          <w:shd w:val="clear" w:color="auto" w:fill="FFFFFF"/>
          <w:lang w:val="en-GB"/>
        </w:rPr>
        <w:footnoteReference w:id="31"/>
      </w:r>
      <w:r w:rsidRPr="00524BEA">
        <w:rPr>
          <w:rFonts w:ascii="Arial" w:eastAsia="Times New Roman" w:hAnsi="Arial" w:cs="Arial"/>
          <w:color w:val="000000"/>
          <w:shd w:val="clear" w:color="auto" w:fill="FFFFFF"/>
          <w:lang w:val="en-GB"/>
        </w:rPr>
        <w:t xml:space="preserve"> These include communication in one’s mother tongue </w:t>
      </w:r>
      <w:r w:rsidRPr="00524BEA">
        <w:rPr>
          <w:rFonts w:ascii="Arial" w:eastAsia="Times New Roman" w:hAnsi="Arial" w:cs="Arial"/>
          <w:lang w:val="en-GB"/>
        </w:rPr>
        <w:t>and</w:t>
      </w:r>
      <w:r w:rsidRPr="00524BEA">
        <w:rPr>
          <w:rFonts w:ascii="Arial" w:eastAsia="Times New Roman" w:hAnsi="Arial" w:cs="Arial"/>
          <w:color w:val="000000"/>
          <w:shd w:val="clear" w:color="auto" w:fill="FFFFFF"/>
          <w:lang w:val="en-GB"/>
        </w:rPr>
        <w:t> foreign languages, critical thinking skills, digital, personal and social development, entrepreneurship competences, social and civic responsibility</w:t>
      </w:r>
      <w:r w:rsidRPr="005B1175">
        <w:rPr>
          <w:rFonts w:ascii="Arial" w:eastAsia="Times New Roman" w:hAnsi="Arial" w:cs="Arial"/>
          <w:color w:val="FF0000"/>
          <w:lang w:val="en-GB"/>
        </w:rPr>
        <w:t> </w:t>
      </w:r>
      <w:r w:rsidRPr="005B1175">
        <w:rPr>
          <w:rFonts w:ascii="Arial" w:eastAsia="Times New Roman" w:hAnsi="Arial" w:cs="Arial"/>
          <w:lang w:val="en-GB"/>
        </w:rPr>
        <w:t xml:space="preserve">(citizenship) as well as </w:t>
      </w:r>
      <w:r w:rsidRPr="005B1175">
        <w:rPr>
          <w:rFonts w:ascii="Arial" w:eastAsia="Times New Roman" w:hAnsi="Arial" w:cs="Arial"/>
          <w:color w:val="000000"/>
          <w:shd w:val="clear" w:color="auto" w:fill="FFFFFF"/>
          <w:lang w:val="en-GB"/>
        </w:rPr>
        <w:t>cultural awareness</w:t>
      </w:r>
      <w:r w:rsidRPr="005B1175">
        <w:rPr>
          <w:rFonts w:ascii="Arial" w:eastAsia="Times New Roman" w:hAnsi="Arial" w:cs="Arial"/>
          <w:color w:val="FF0000"/>
          <w:lang w:val="en-GB"/>
        </w:rPr>
        <w:t> </w:t>
      </w:r>
      <w:r w:rsidRPr="005B1175">
        <w:rPr>
          <w:rFonts w:ascii="Arial" w:eastAsia="Times New Roman" w:hAnsi="Arial" w:cs="Arial"/>
          <w:lang w:val="en-GB"/>
        </w:rPr>
        <w:t xml:space="preserve">and expression. </w:t>
      </w: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color w:val="000000"/>
          <w:lang w:val="en-GB"/>
        </w:rPr>
      </w:pP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color w:val="000000"/>
          <w:lang w:val="en-GB"/>
        </w:rPr>
      </w:pPr>
      <w:r w:rsidRPr="005B1175">
        <w:rPr>
          <w:rFonts w:ascii="Arial" w:hAnsi="Arial" w:cs="Arial"/>
          <w:b/>
          <w:color w:val="000000"/>
          <w:lang w:val="en-GB"/>
        </w:rPr>
        <w:t>Tolerance</w:t>
      </w:r>
      <w:r>
        <w:rPr>
          <w:rFonts w:ascii="Arial" w:hAnsi="Arial" w:cs="Arial"/>
          <w:b/>
          <w:color w:val="000000"/>
          <w:lang w:val="en-GB"/>
        </w:rPr>
        <w:t>:</w:t>
      </w:r>
      <w:r w:rsidRPr="005B1175">
        <w:rPr>
          <w:rFonts w:ascii="Arial" w:hAnsi="Arial" w:cs="Arial"/>
          <w:b/>
          <w:color w:val="000000"/>
          <w:lang w:val="en-GB"/>
        </w:rPr>
        <w:t xml:space="preserve"> </w:t>
      </w:r>
      <w:r w:rsidRPr="005B1175">
        <w:rPr>
          <w:rFonts w:ascii="Arial" w:eastAsia="Times New Roman" w:hAnsi="Arial" w:cs="Arial"/>
          <w:shd w:val="clear" w:color="auto" w:fill="FFFFFF"/>
          <w:lang w:val="en-GB"/>
        </w:rPr>
        <w:t>The</w:t>
      </w:r>
      <w:r>
        <w:rPr>
          <w:rFonts w:ascii="Arial" w:eastAsia="Times New Roman" w:hAnsi="Arial" w:cs="Arial"/>
          <w:shd w:val="clear" w:color="auto" w:fill="FFFFFF"/>
          <w:lang w:val="en-GB"/>
        </w:rPr>
        <w:t xml:space="preserve"> UN Declaration of Principles on Tolerance</w:t>
      </w:r>
      <w:r>
        <w:rPr>
          <w:rStyle w:val="FootnoteReference"/>
          <w:rFonts w:eastAsia="Times New Roman" w:cs="Arial"/>
          <w:shd w:val="clear" w:color="auto" w:fill="FFFFFF"/>
          <w:lang w:val="en-GB"/>
        </w:rPr>
        <w:footnoteReference w:id="32"/>
      </w:r>
      <w:r>
        <w:rPr>
          <w:rFonts w:ascii="Arial" w:eastAsia="Times New Roman" w:hAnsi="Arial" w:cs="Arial"/>
          <w:shd w:val="clear" w:color="auto" w:fill="FFFFFF"/>
          <w:lang w:val="en-GB"/>
        </w:rPr>
        <w:t xml:space="preserve"> </w:t>
      </w:r>
      <w:r w:rsidRPr="005B1175">
        <w:rPr>
          <w:rFonts w:ascii="Arial" w:eastAsia="Times New Roman" w:hAnsi="Arial" w:cs="Arial"/>
          <w:bCs/>
          <w:bdr w:val="none" w:sz="0" w:space="0" w:color="auto" w:frame="1"/>
          <w:shd w:val="clear" w:color="auto" w:fill="FFFFFF"/>
          <w:lang w:val="en-GB"/>
        </w:rPr>
        <w:t>defines</w:t>
      </w:r>
      <w:r w:rsidRPr="005B1175">
        <w:rPr>
          <w:rFonts w:ascii="Arial" w:eastAsia="Times New Roman" w:hAnsi="Arial" w:cs="Arial"/>
          <w:shd w:val="clear" w:color="auto" w:fill="FFFFFF"/>
          <w:lang w:val="en-GB"/>
        </w:rPr>
        <w:t xml:space="preserve"> tolerance in a broad manner as acceptance, respect and appreciation of the diversity of human existence. The Declaration emphasises that tolerance is not only a moral duty, but also a political and legal requirement. The means of accomplishing this is through fostering critical thinking and ethical reasoning skills.</w:t>
      </w:r>
      <w:r w:rsidRPr="005B1175">
        <w:rPr>
          <w:rStyle w:val="FootnoteReference"/>
          <w:rFonts w:ascii="Arial" w:eastAsia="Times New Roman" w:hAnsi="Arial" w:cs="Arial"/>
          <w:shd w:val="clear" w:color="auto" w:fill="FFFFFF"/>
          <w:lang w:val="en-GB"/>
        </w:rPr>
        <w:footnoteReference w:id="33"/>
      </w: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color w:val="000000"/>
          <w:lang w:val="en-GB"/>
        </w:rPr>
      </w:pPr>
    </w:p>
    <w:p w:rsidR="0077627C" w:rsidRPr="005B1175" w:rsidRDefault="0077627C" w:rsidP="0077627C">
      <w:pPr>
        <w:pStyle w:val="ox-b3f2d9ec33-msonormal"/>
        <w:shd w:val="clear" w:color="auto" w:fill="FFFFFF"/>
        <w:spacing w:before="0" w:beforeAutospacing="0" w:after="0" w:afterAutospacing="0" w:line="269" w:lineRule="auto"/>
        <w:jc w:val="both"/>
        <w:rPr>
          <w:rFonts w:ascii="Arial" w:hAnsi="Arial" w:cs="Arial"/>
          <w:b/>
          <w:color w:val="000000"/>
          <w:lang w:val="en-GB"/>
        </w:rPr>
      </w:pPr>
      <w:r w:rsidRPr="005B1175">
        <w:rPr>
          <w:rFonts w:ascii="Arial" w:hAnsi="Arial" w:cs="Arial"/>
          <w:b/>
          <w:color w:val="000000"/>
          <w:lang w:val="en-GB"/>
        </w:rPr>
        <w:t>Whole school approach</w:t>
      </w:r>
      <w:r>
        <w:rPr>
          <w:rFonts w:ascii="Arial" w:hAnsi="Arial" w:cs="Arial"/>
          <w:b/>
          <w:color w:val="000000"/>
          <w:lang w:val="en-GB"/>
        </w:rPr>
        <w:t>:</w:t>
      </w:r>
      <w:r w:rsidRPr="005B1175">
        <w:rPr>
          <w:rFonts w:ascii="Arial" w:hAnsi="Arial" w:cs="Arial"/>
          <w:b/>
          <w:color w:val="000000"/>
          <w:lang w:val="en-GB"/>
        </w:rPr>
        <w:t xml:space="preserve"> </w:t>
      </w:r>
      <w:r w:rsidRPr="005B1175">
        <w:rPr>
          <w:rFonts w:ascii="Arial" w:hAnsi="Arial" w:cs="Arial"/>
          <w:lang w:val="en-GB"/>
        </w:rPr>
        <w:t xml:space="preserve">A whole school approach can be defined as a holistic and </w:t>
      </w:r>
      <w:r>
        <w:rPr>
          <w:rFonts w:ascii="Arial" w:hAnsi="Arial" w:cs="Arial"/>
          <w:lang w:val="en-GB"/>
        </w:rPr>
        <w:t xml:space="preserve">comprehensive </w:t>
      </w:r>
      <w:r w:rsidRPr="005B1175">
        <w:rPr>
          <w:rFonts w:ascii="Arial" w:hAnsi="Arial" w:cs="Arial"/>
          <w:lang w:val="en-GB"/>
        </w:rPr>
        <w:t>approach to education. The approach involves all members of the school community, including school staff, students, parents, psychologists, youth services, NGOs and the broader community – working together in promoting a sense of belonging and cohesion. The entire school community engages in a cohesive, collective and collaborative action, based on multi-disciplinarity and on differentiation</w:t>
      </w:r>
      <w:r w:rsidRPr="005B1175">
        <w:rPr>
          <w:rFonts w:ascii="Arial" w:eastAsia="Times New Roman" w:hAnsi="Arial" w:cs="Arial"/>
          <w:lang w:val="en-GB"/>
        </w:rPr>
        <w:t>.</w:t>
      </w:r>
      <w:r w:rsidRPr="005B1175">
        <w:rPr>
          <w:rStyle w:val="FootnoteReference"/>
          <w:rFonts w:ascii="Arial" w:eastAsia="Times New Roman" w:hAnsi="Arial" w:cs="Arial"/>
          <w:lang w:val="en-GB"/>
        </w:rPr>
        <w:footnoteReference w:id="34"/>
      </w:r>
    </w:p>
    <w:p w:rsidR="0077627C" w:rsidRPr="009167F9" w:rsidRDefault="0077627C" w:rsidP="0077627C">
      <w:pPr>
        <w:jc w:val="center"/>
        <w:rPr>
          <w:rFonts w:ascii="Arial" w:hAnsi="Arial" w:cs="Arial"/>
          <w:b/>
          <w:sz w:val="20"/>
          <w:szCs w:val="20"/>
        </w:rPr>
      </w:pPr>
    </w:p>
    <w:p w:rsidR="0077627C" w:rsidRPr="009167F9" w:rsidRDefault="0077627C" w:rsidP="0077627C">
      <w:pPr>
        <w:jc w:val="center"/>
        <w:rPr>
          <w:rFonts w:ascii="Arial" w:hAnsi="Arial" w:cs="Arial"/>
          <w:b/>
          <w:sz w:val="20"/>
          <w:szCs w:val="20"/>
        </w:rPr>
      </w:pPr>
    </w:p>
    <w:p w:rsidR="00977B14" w:rsidRPr="00977B14" w:rsidRDefault="00977B14" w:rsidP="0077627C">
      <w:pPr>
        <w:pStyle w:val="Heading1"/>
      </w:pPr>
    </w:p>
    <w:p w:rsidR="00D167A2" w:rsidRPr="00977B14" w:rsidRDefault="00D167A2" w:rsidP="00977B14">
      <w:pPr>
        <w:sectPr w:rsidR="00D167A2" w:rsidRPr="00977B14" w:rsidSect="00406D06">
          <w:footerReference w:type="even" r:id="rId18"/>
          <w:pgSz w:w="11907" w:h="16840"/>
          <w:pgMar w:top="1985" w:right="1418" w:bottom="1418" w:left="1701" w:header="720" w:footer="720" w:gutter="0"/>
          <w:cols w:space="720"/>
          <w:docGrid w:linePitch="272"/>
        </w:sectPr>
      </w:pPr>
    </w:p>
    <w:p w:rsidR="002F4A39" w:rsidRPr="00CD63AD" w:rsidRDefault="0092686E" w:rsidP="0092686E">
      <w:pPr>
        <w:widowControl w:val="0"/>
        <w:tabs>
          <w:tab w:val="left" w:pos="142"/>
          <w:tab w:val="left" w:pos="10065"/>
        </w:tabs>
        <w:spacing w:after="60"/>
        <w:ind w:right="640"/>
        <w:jc w:val="left"/>
        <w:rPr>
          <w:rFonts w:ascii="Arial" w:hAnsi="Arial"/>
          <w:sz w:val="16"/>
          <w:lang w:val="nl"/>
        </w:rPr>
      </w:pPr>
      <w:r>
        <w:rPr>
          <w:rFonts w:ascii="Arial" w:hAnsi="Arial"/>
          <w:noProof/>
          <w:sz w:val="16"/>
        </w:rPr>
        <w:lastRenderedPageBreak/>
        <w:drawing>
          <wp:anchor distT="0" distB="0" distL="114300" distR="114300" simplePos="0" relativeHeight="251696128" behindDoc="1" locked="0" layoutInCell="1" allowOverlap="1" wp14:anchorId="3333E082" wp14:editId="6838A21B">
            <wp:simplePos x="902525" y="724395"/>
            <wp:positionH relativeFrom="page">
              <wp:align>center</wp:align>
            </wp:positionH>
            <wp:positionV relativeFrom="page">
              <wp:align>center</wp:align>
            </wp:positionV>
            <wp:extent cx="7556222" cy="10688400"/>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 A4 (neg-logo) Back Cover.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56222" cy="10688400"/>
                    </a:xfrm>
                    <a:prstGeom prst="rect">
                      <a:avLst/>
                    </a:prstGeom>
                  </pic:spPr>
                </pic:pic>
              </a:graphicData>
            </a:graphic>
            <wp14:sizeRelH relativeFrom="margin">
              <wp14:pctWidth>0</wp14:pctWidth>
            </wp14:sizeRelH>
            <wp14:sizeRelV relativeFrom="margin">
              <wp14:pctHeight>0</wp14:pctHeight>
            </wp14:sizeRelV>
          </wp:anchor>
        </w:drawing>
      </w:r>
    </w:p>
    <w:sectPr w:rsidR="002F4A39" w:rsidRPr="00CD63AD" w:rsidSect="00406D06">
      <w:headerReference w:type="even" r:id="rId20"/>
      <w:headerReference w:type="default" r:id="rId21"/>
      <w:footerReference w:type="even" r:id="rId22"/>
      <w:footerReference w:type="default" r:id="rId23"/>
      <w:pgSz w:w="11907" w:h="16840" w:code="9"/>
      <w:pgMar w:top="1134" w:right="851" w:bottom="1134" w:left="141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BB0" w:rsidRPr="00D02D0C" w:rsidRDefault="00F87BB0">
      <w:r w:rsidRPr="00D02D0C">
        <w:separator/>
      </w:r>
    </w:p>
  </w:endnote>
  <w:endnote w:type="continuationSeparator" w:id="0">
    <w:p w:rsidR="00F87BB0" w:rsidRPr="00D02D0C" w:rsidRDefault="00F87BB0">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B14" w:rsidRDefault="00977B14">
    <w:pPr>
      <w:pStyle w:val="Footer"/>
    </w:pPr>
  </w:p>
  <w:p w:rsidR="00977B14" w:rsidRDefault="00977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B14" w:rsidRPr="00D02D0C" w:rsidRDefault="00977B14" w:rsidP="00CF3B2F">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0003EF">
      <w:rPr>
        <w:rStyle w:val="PageNumber"/>
        <w:noProof/>
      </w:rPr>
      <w:t>16</w:t>
    </w:r>
    <w:r w:rsidRPr="00D02D0C">
      <w:rPr>
        <w:rStyle w:val="PageNumber"/>
      </w:rPr>
      <w:fldChar w:fldCharType="end"/>
    </w:r>
  </w:p>
  <w:p w:rsidR="00977B14" w:rsidRPr="00070CA8" w:rsidRDefault="00977B14" w:rsidP="00070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B14" w:rsidRPr="007921DC" w:rsidRDefault="00977B14">
    <w:pPr>
      <w:pStyle w:val="Footer"/>
      <w:rPr>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B14" w:rsidRDefault="00977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BB0" w:rsidRPr="00D02D0C" w:rsidRDefault="00F87BB0">
      <w:r w:rsidRPr="00D02D0C">
        <w:separator/>
      </w:r>
    </w:p>
  </w:footnote>
  <w:footnote w:type="continuationSeparator" w:id="0">
    <w:p w:rsidR="00F87BB0" w:rsidRPr="00D02D0C" w:rsidRDefault="00F87BB0">
      <w:r w:rsidRPr="00D02D0C">
        <w:continuationSeparator/>
      </w:r>
    </w:p>
  </w:footnote>
  <w:footnote w:id="1">
    <w:p w:rsidR="0077627C" w:rsidRPr="007F3D99" w:rsidRDefault="0077627C" w:rsidP="0077627C">
      <w:pPr>
        <w:pStyle w:val="FootnoteText"/>
        <w:rPr>
          <w:rFonts w:ascii="Arial" w:hAnsi="Arial" w:cs="Arial"/>
          <w:sz w:val="16"/>
          <w:szCs w:val="18"/>
        </w:rPr>
      </w:pPr>
      <w:r w:rsidRPr="007F3D99">
        <w:rPr>
          <w:rStyle w:val="FootnoteReference"/>
          <w:rFonts w:ascii="Arial" w:hAnsi="Arial" w:cs="Arial"/>
          <w:sz w:val="16"/>
          <w:szCs w:val="18"/>
        </w:rPr>
        <w:footnoteRef/>
      </w:r>
      <w:r w:rsidRPr="007F3D99">
        <w:rPr>
          <w:rFonts w:ascii="Arial" w:hAnsi="Arial" w:cs="Arial"/>
          <w:sz w:val="16"/>
          <w:szCs w:val="18"/>
        </w:rPr>
        <w:t xml:space="preserve"> http://ec.europa.eu/dgs/education_culture/repository/education/news/2015/documents/citizenship-education-declaration_en.pdf</w:t>
      </w:r>
    </w:p>
  </w:footnote>
  <w:footnote w:id="2">
    <w:p w:rsidR="0077627C" w:rsidRPr="00D17E97" w:rsidRDefault="0077627C" w:rsidP="0077627C">
      <w:pPr>
        <w:pStyle w:val="FootnoteText"/>
        <w:rPr>
          <w:rFonts w:ascii="Arial" w:hAnsi="Arial" w:cs="Arial"/>
          <w:sz w:val="16"/>
        </w:rPr>
      </w:pPr>
      <w:r w:rsidRPr="00D17E97">
        <w:rPr>
          <w:rStyle w:val="FootnoteReference"/>
          <w:rFonts w:ascii="Arial" w:hAnsi="Arial" w:cs="Arial"/>
          <w:sz w:val="16"/>
        </w:rPr>
        <w:footnoteRef/>
      </w:r>
      <w:r w:rsidRPr="00D17E97">
        <w:rPr>
          <w:rFonts w:ascii="Arial" w:hAnsi="Arial" w:cs="Arial"/>
          <w:sz w:val="16"/>
        </w:rPr>
        <w:t xml:space="preserve"> In the Netherlands, Austria, France, Malta, Slovakia and Greece</w:t>
      </w:r>
    </w:p>
  </w:footnote>
  <w:footnote w:id="3">
    <w:p w:rsidR="0077627C" w:rsidRPr="004870CE" w:rsidRDefault="0077627C" w:rsidP="0077627C">
      <w:pPr>
        <w:pStyle w:val="FootnoteText"/>
        <w:rPr>
          <w:rFonts w:ascii="Arial" w:hAnsi="Arial" w:cs="Arial"/>
          <w:sz w:val="16"/>
          <w:szCs w:val="16"/>
        </w:rPr>
      </w:pPr>
      <w:r w:rsidRPr="004870CE">
        <w:rPr>
          <w:rStyle w:val="FootnoteReference"/>
          <w:rFonts w:ascii="Arial" w:hAnsi="Arial" w:cs="Arial"/>
          <w:sz w:val="16"/>
          <w:szCs w:val="16"/>
        </w:rPr>
        <w:footnoteRef/>
      </w:r>
      <w:r w:rsidRPr="004870CE">
        <w:rPr>
          <w:rFonts w:ascii="Arial" w:hAnsi="Arial" w:cs="Arial"/>
          <w:sz w:val="16"/>
          <w:szCs w:val="16"/>
        </w:rPr>
        <w:t xml:space="preserve"> https://ec.europa.eu/education/compendium/citizenship</w:t>
      </w:r>
    </w:p>
  </w:footnote>
  <w:footnote w:id="4">
    <w:p w:rsidR="0077627C" w:rsidRPr="008505D1" w:rsidRDefault="0077627C" w:rsidP="0077627C">
      <w:pPr>
        <w:pStyle w:val="FootnoteText"/>
        <w:rPr>
          <w:rFonts w:ascii="Arial" w:hAnsi="Arial" w:cs="Arial"/>
          <w:sz w:val="16"/>
        </w:rPr>
      </w:pPr>
      <w:r w:rsidRPr="008505D1">
        <w:rPr>
          <w:rStyle w:val="FootnoteReference"/>
          <w:rFonts w:ascii="Arial" w:hAnsi="Arial" w:cs="Arial"/>
          <w:sz w:val="16"/>
        </w:rPr>
        <w:footnoteRef/>
      </w:r>
      <w:r w:rsidRPr="008505D1">
        <w:rPr>
          <w:rFonts w:ascii="Arial" w:hAnsi="Arial" w:cs="Arial"/>
          <w:sz w:val="16"/>
        </w:rPr>
        <w:t xml:space="preserve"> Article 2 states that “</w:t>
      </w:r>
      <w:r w:rsidRPr="008505D1">
        <w:rPr>
          <w:rFonts w:ascii="Arial" w:hAnsi="Arial" w:cs="Arial"/>
          <w:color w:val="000000"/>
          <w:sz w:val="16"/>
        </w:rPr>
        <w:t>The Union is founded on the values of respect for human dignity, freedom, democracy, equality, the rule of law and respect for human rights, including the rights of persons belonging to minorities. These values are common to the Member States in a society in which pluralism, non-discrimination, tolerance, justice, solidarity and equality between women and men prevail.”</w:t>
      </w:r>
    </w:p>
  </w:footnote>
  <w:footnote w:id="5">
    <w:p w:rsidR="0077627C" w:rsidRDefault="0077627C" w:rsidP="0077627C">
      <w:pPr>
        <w:pStyle w:val="FootnoteText"/>
      </w:pPr>
      <w:r>
        <w:rPr>
          <w:rStyle w:val="FootnoteReference"/>
        </w:rPr>
        <w:footnoteRef/>
      </w:r>
      <w:r>
        <w:t xml:space="preserve"> </w:t>
      </w:r>
      <w:r w:rsidRPr="007F3D99">
        <w:rPr>
          <w:rFonts w:ascii="Arial" w:hAnsi="Arial" w:cs="Arial"/>
          <w:sz w:val="16"/>
          <w:szCs w:val="18"/>
        </w:rPr>
        <w:t>https://ec.europa.eu/education/sites/education/files/recommendation-key-competences-lifelong-learning.pdf</w:t>
      </w:r>
    </w:p>
  </w:footnote>
  <w:footnote w:id="6">
    <w:p w:rsidR="0077627C" w:rsidRPr="007F3D99" w:rsidRDefault="0077627C" w:rsidP="0077627C">
      <w:pPr>
        <w:pStyle w:val="FootnoteText"/>
        <w:rPr>
          <w:rFonts w:ascii="Arial" w:hAnsi="Arial" w:cs="Arial"/>
          <w:sz w:val="16"/>
          <w:szCs w:val="18"/>
        </w:rPr>
      </w:pPr>
      <w:r w:rsidRPr="007F3D99">
        <w:rPr>
          <w:rStyle w:val="FootnoteReference"/>
          <w:rFonts w:ascii="Arial" w:hAnsi="Arial" w:cs="Arial"/>
          <w:sz w:val="16"/>
          <w:szCs w:val="18"/>
        </w:rPr>
        <w:footnoteRef/>
      </w:r>
      <w:r w:rsidRPr="007F3D99">
        <w:rPr>
          <w:rFonts w:ascii="Arial" w:hAnsi="Arial" w:cs="Arial"/>
          <w:sz w:val="16"/>
          <w:szCs w:val="18"/>
        </w:rPr>
        <w:t xml:space="preserve"> https://ec.europa.eu/education/sites/education/files/recommendation-common-values-inclusive-education-european-dimension-of-teaching.pdf</w:t>
      </w:r>
    </w:p>
  </w:footnote>
  <w:footnote w:id="7">
    <w:p w:rsidR="0077627C" w:rsidRPr="00984541" w:rsidRDefault="0077627C" w:rsidP="0077627C">
      <w:pPr>
        <w:pStyle w:val="FootnoteText"/>
        <w:rPr>
          <w:rFonts w:ascii="Arial" w:hAnsi="Arial" w:cs="Arial"/>
          <w:sz w:val="16"/>
          <w:szCs w:val="16"/>
        </w:rPr>
      </w:pPr>
      <w:r w:rsidRPr="00984541">
        <w:rPr>
          <w:rStyle w:val="FootnoteReference"/>
          <w:rFonts w:ascii="Arial" w:hAnsi="Arial" w:cs="Arial"/>
          <w:sz w:val="16"/>
          <w:szCs w:val="16"/>
        </w:rPr>
        <w:footnoteRef/>
      </w:r>
      <w:r w:rsidRPr="00984541">
        <w:rPr>
          <w:rFonts w:ascii="Arial" w:hAnsi="Arial" w:cs="Arial"/>
          <w:sz w:val="16"/>
          <w:szCs w:val="16"/>
        </w:rPr>
        <w:t xml:space="preserve"> </w:t>
      </w:r>
      <w:r w:rsidRPr="00984541">
        <w:rPr>
          <w:rFonts w:ascii="Arial" w:hAnsi="Arial" w:cs="Arial"/>
          <w:sz w:val="16"/>
          <w:szCs w:val="16"/>
          <w:lang w:val="en-US"/>
        </w:rPr>
        <w:t>https://rm.coe.int/16806ccc07</w:t>
      </w:r>
    </w:p>
  </w:footnote>
  <w:footnote w:id="8">
    <w:p w:rsidR="0077627C" w:rsidRPr="00984541" w:rsidRDefault="0077627C" w:rsidP="0077627C">
      <w:pPr>
        <w:spacing w:after="0" w:line="240" w:lineRule="auto"/>
        <w:rPr>
          <w:lang w:val="en-US"/>
        </w:rPr>
      </w:pPr>
      <w:r w:rsidRPr="00984541">
        <w:rPr>
          <w:rStyle w:val="FootnoteReference"/>
          <w:rFonts w:ascii="Arial" w:hAnsi="Arial" w:cs="Arial"/>
          <w:sz w:val="16"/>
          <w:szCs w:val="16"/>
        </w:rPr>
        <w:footnoteRef/>
      </w:r>
      <w:r w:rsidRPr="00984541">
        <w:rPr>
          <w:rFonts w:ascii="Arial" w:hAnsi="Arial" w:cs="Arial"/>
          <w:sz w:val="16"/>
          <w:szCs w:val="16"/>
        </w:rPr>
        <w:t xml:space="preserve"> </w:t>
      </w:r>
      <w:r w:rsidRPr="00984541">
        <w:rPr>
          <w:rFonts w:ascii="Arial" w:hAnsi="Arial" w:cs="Arial"/>
          <w:sz w:val="16"/>
          <w:szCs w:val="16"/>
          <w:lang w:val="en-US"/>
        </w:rPr>
        <w:t>http://uis.unesco.org/sites/default/files/documents/education-2030-incheon-framework-for-action-implementation-of-sdg4-2016-en_2.pdf</w:t>
      </w:r>
    </w:p>
  </w:footnote>
  <w:footnote w:id="9">
    <w:p w:rsidR="0077627C" w:rsidRPr="007F3D99" w:rsidRDefault="0077627C" w:rsidP="0077627C">
      <w:pPr>
        <w:pStyle w:val="FootnoteText"/>
        <w:rPr>
          <w:rFonts w:ascii="Arial" w:hAnsi="Arial" w:cs="Arial"/>
          <w:sz w:val="16"/>
          <w:szCs w:val="18"/>
        </w:rPr>
      </w:pPr>
      <w:r w:rsidRPr="007F3D99">
        <w:rPr>
          <w:rStyle w:val="FootnoteReference"/>
          <w:rFonts w:ascii="Arial" w:hAnsi="Arial" w:cs="Arial"/>
          <w:sz w:val="16"/>
          <w:szCs w:val="18"/>
        </w:rPr>
        <w:footnoteRef/>
      </w:r>
      <w:r w:rsidRPr="007F3D99">
        <w:rPr>
          <w:rFonts w:ascii="Arial" w:hAnsi="Arial" w:cs="Arial"/>
          <w:sz w:val="16"/>
          <w:szCs w:val="18"/>
        </w:rPr>
        <w:t xml:space="preserve"> Early childhood education, school education, higher education, vocational education and training and adult learning</w:t>
      </w:r>
    </w:p>
  </w:footnote>
  <w:footnote w:id="10">
    <w:p w:rsidR="0077627C" w:rsidRPr="00F63D97" w:rsidRDefault="0077627C" w:rsidP="0077627C">
      <w:pPr>
        <w:pStyle w:val="FootnoteText"/>
        <w:rPr>
          <w:rFonts w:ascii="Arial" w:hAnsi="Arial" w:cs="Arial"/>
          <w:sz w:val="16"/>
          <w:szCs w:val="16"/>
        </w:rPr>
      </w:pPr>
      <w:r w:rsidRPr="00F63D97">
        <w:rPr>
          <w:rStyle w:val="FootnoteReference"/>
          <w:rFonts w:ascii="Arial" w:hAnsi="Arial" w:cs="Arial"/>
          <w:sz w:val="16"/>
          <w:szCs w:val="16"/>
        </w:rPr>
        <w:footnoteRef/>
      </w:r>
      <w:r w:rsidRPr="00F63D97">
        <w:rPr>
          <w:rFonts w:ascii="Arial" w:hAnsi="Arial" w:cs="Arial"/>
          <w:sz w:val="16"/>
          <w:szCs w:val="16"/>
        </w:rPr>
        <w:t xml:space="preserve"> Formal, non-formal and informal learning</w:t>
      </w:r>
    </w:p>
  </w:footnote>
  <w:footnote w:id="11">
    <w:p w:rsidR="0077627C" w:rsidRPr="00F63D97" w:rsidRDefault="0077627C" w:rsidP="0077627C">
      <w:pPr>
        <w:pStyle w:val="FootnoteText"/>
        <w:rPr>
          <w:rFonts w:ascii="Arial" w:hAnsi="Arial" w:cs="Arial"/>
          <w:sz w:val="16"/>
          <w:szCs w:val="16"/>
        </w:rPr>
      </w:pPr>
      <w:r w:rsidRPr="00F63D97">
        <w:rPr>
          <w:rStyle w:val="FootnoteReference"/>
          <w:rFonts w:ascii="Arial" w:hAnsi="Arial" w:cs="Arial"/>
          <w:sz w:val="16"/>
          <w:szCs w:val="16"/>
        </w:rPr>
        <w:footnoteRef/>
      </w:r>
      <w:r w:rsidRPr="00F63D97">
        <w:rPr>
          <w:rFonts w:ascii="Arial" w:hAnsi="Arial" w:cs="Arial"/>
          <w:sz w:val="16"/>
          <w:szCs w:val="16"/>
        </w:rPr>
        <w:t xml:space="preserve"> See the Council Recommendation on key competences for lifelong learning, available at: https://ec.europa.eu/education/sites/education/files/recommendation-key-competences-lifelong-learning.pdf</w:t>
      </w:r>
    </w:p>
  </w:footnote>
  <w:footnote w:id="12">
    <w:p w:rsidR="0077627C" w:rsidRDefault="0077627C" w:rsidP="0077627C">
      <w:pPr>
        <w:pStyle w:val="FootnoteText"/>
      </w:pPr>
      <w:r w:rsidRPr="007F3D99">
        <w:rPr>
          <w:rStyle w:val="FootnoteReference"/>
          <w:rFonts w:ascii="Arial" w:hAnsi="Arial" w:cs="Arial"/>
          <w:sz w:val="16"/>
          <w:szCs w:val="18"/>
        </w:rPr>
        <w:footnoteRef/>
      </w:r>
      <w:r w:rsidRPr="007F3D99">
        <w:rPr>
          <w:rFonts w:ascii="Arial" w:hAnsi="Arial" w:cs="Arial"/>
          <w:sz w:val="16"/>
          <w:szCs w:val="18"/>
        </w:rPr>
        <w:t xml:space="preserve"> As set out in the Council Recommendation on key competences for lifelong learning, available at: https://ec.europa.eu/education/sites/education/files/recommendation-key-competences-lifelong-learning.pdf</w:t>
      </w:r>
    </w:p>
  </w:footnote>
  <w:footnote w:id="13">
    <w:p w:rsidR="0077627C" w:rsidRPr="00A524DB" w:rsidRDefault="0077627C" w:rsidP="0077627C">
      <w:pPr>
        <w:spacing w:after="0" w:line="240" w:lineRule="auto"/>
        <w:rPr>
          <w:rFonts w:ascii="Arial" w:hAnsi="Arial" w:cs="Arial"/>
          <w:sz w:val="16"/>
          <w:szCs w:val="16"/>
        </w:rPr>
      </w:pPr>
      <w:r w:rsidRPr="00A524DB">
        <w:rPr>
          <w:rStyle w:val="FootnoteReference"/>
          <w:rFonts w:ascii="Arial" w:hAnsi="Arial" w:cs="Arial"/>
          <w:sz w:val="16"/>
          <w:szCs w:val="16"/>
        </w:rPr>
        <w:footnoteRef/>
      </w:r>
      <w:r>
        <w:rPr>
          <w:rFonts w:ascii="Arial" w:hAnsi="Arial" w:cs="Arial"/>
          <w:sz w:val="16"/>
          <w:szCs w:val="16"/>
        </w:rPr>
        <w:t xml:space="preserve">  e</w:t>
      </w:r>
      <w:r w:rsidRPr="00A524DB">
        <w:rPr>
          <w:rFonts w:ascii="Arial" w:hAnsi="Arial" w:cs="Arial"/>
          <w:sz w:val="16"/>
          <w:szCs w:val="16"/>
        </w:rPr>
        <w:t>.g. r</w:t>
      </w:r>
      <w:r w:rsidRPr="00A524DB">
        <w:rPr>
          <w:rFonts w:ascii="Arial" w:hAnsi="Arial" w:cs="Arial"/>
          <w:spacing w:val="4"/>
          <w:sz w:val="16"/>
          <w:szCs w:val="16"/>
          <w:lang w:val="en"/>
        </w:rPr>
        <w:t>ole-playing, volunteer work, service learning, community engagement and project-based learning and experiential learning, use o</w:t>
      </w:r>
      <w:r>
        <w:rPr>
          <w:rFonts w:ascii="Arial" w:hAnsi="Arial" w:cs="Arial"/>
          <w:spacing w:val="4"/>
          <w:sz w:val="16"/>
          <w:szCs w:val="16"/>
          <w:lang w:val="en"/>
        </w:rPr>
        <w:t>f culture and media production, peer education approaches, etc.</w:t>
      </w:r>
    </w:p>
  </w:footnote>
  <w:footnote w:id="14">
    <w:p w:rsidR="0077627C" w:rsidRPr="00A524DB" w:rsidRDefault="0077627C" w:rsidP="0077627C">
      <w:pPr>
        <w:pStyle w:val="FootnoteText"/>
        <w:rPr>
          <w:rFonts w:ascii="Arial" w:hAnsi="Arial" w:cs="Arial"/>
          <w:sz w:val="16"/>
          <w:szCs w:val="16"/>
        </w:rPr>
      </w:pPr>
      <w:r w:rsidRPr="00A524DB">
        <w:rPr>
          <w:rStyle w:val="FootnoteReference"/>
          <w:rFonts w:ascii="Arial" w:hAnsi="Arial" w:cs="Arial"/>
          <w:sz w:val="16"/>
          <w:szCs w:val="16"/>
        </w:rPr>
        <w:footnoteRef/>
      </w:r>
      <w:r>
        <w:rPr>
          <w:rFonts w:ascii="Arial" w:hAnsi="Arial" w:cs="Arial"/>
          <w:sz w:val="16"/>
          <w:szCs w:val="16"/>
        </w:rPr>
        <w:t xml:space="preserve">  </w:t>
      </w:r>
      <w:r w:rsidRPr="00A524DB">
        <w:rPr>
          <w:rFonts w:ascii="Arial" w:hAnsi="Arial" w:cs="Arial"/>
          <w:sz w:val="16"/>
          <w:szCs w:val="16"/>
        </w:rPr>
        <w:t>e.g. helpline, psychological support and advice</w:t>
      </w:r>
    </w:p>
  </w:footnote>
  <w:footnote w:id="15">
    <w:p w:rsidR="0077627C" w:rsidRPr="00F820E7" w:rsidRDefault="0077627C" w:rsidP="0077627C">
      <w:pPr>
        <w:pStyle w:val="FootnoteText"/>
        <w:rPr>
          <w:rFonts w:ascii="Arial" w:hAnsi="Arial" w:cs="Arial"/>
          <w:sz w:val="16"/>
          <w:szCs w:val="16"/>
        </w:rPr>
      </w:pPr>
      <w:r w:rsidRPr="00F820E7">
        <w:rPr>
          <w:rStyle w:val="FootnoteReference"/>
          <w:rFonts w:ascii="Arial" w:hAnsi="Arial" w:cs="Arial"/>
          <w:sz w:val="16"/>
          <w:szCs w:val="16"/>
        </w:rPr>
        <w:footnoteRef/>
      </w:r>
      <w:r w:rsidRPr="00F820E7">
        <w:rPr>
          <w:rFonts w:ascii="Arial" w:hAnsi="Arial" w:cs="Arial"/>
          <w:sz w:val="16"/>
          <w:szCs w:val="16"/>
        </w:rPr>
        <w:t xml:space="preserve"> See the Council Recommendation of 20 December 2012 on the validation of non-formal and informal learning,  https://eur-lex.europa.eu/legal-content/EN/TXT/?uri=celex%3A32012H1222%2801%29</w:t>
      </w:r>
    </w:p>
  </w:footnote>
  <w:footnote w:id="16">
    <w:p w:rsidR="0077627C" w:rsidRPr="00AE25CD" w:rsidRDefault="0077627C" w:rsidP="0077627C">
      <w:pPr>
        <w:pStyle w:val="FootnoteText"/>
        <w:rPr>
          <w:rFonts w:ascii="Arial" w:hAnsi="Arial" w:cs="Arial"/>
          <w:sz w:val="16"/>
          <w:szCs w:val="16"/>
        </w:rPr>
      </w:pPr>
      <w:r w:rsidRPr="00AE25CD">
        <w:rPr>
          <w:rStyle w:val="FootnoteReference"/>
          <w:rFonts w:ascii="Arial" w:hAnsi="Arial" w:cs="Arial"/>
          <w:sz w:val="16"/>
          <w:szCs w:val="16"/>
        </w:rPr>
        <w:footnoteRef/>
      </w:r>
      <w:r w:rsidRPr="00AE25CD">
        <w:rPr>
          <w:rFonts w:ascii="Arial" w:hAnsi="Arial" w:cs="Arial"/>
          <w:sz w:val="16"/>
          <w:szCs w:val="16"/>
        </w:rPr>
        <w:t xml:space="preserve"> https://eur-lex.europa.eu/legal-content/EN/TXT/PDF/?uri=CELEX:32011H0701(01)&amp;from=EN</w:t>
      </w:r>
    </w:p>
  </w:footnote>
  <w:footnote w:id="17">
    <w:p w:rsidR="0077627C" w:rsidRPr="00AE25CD" w:rsidRDefault="0077627C" w:rsidP="0077627C">
      <w:pPr>
        <w:pStyle w:val="FootnoteText"/>
        <w:rPr>
          <w:rFonts w:ascii="Arial" w:hAnsi="Arial" w:cs="Arial"/>
          <w:sz w:val="16"/>
          <w:szCs w:val="16"/>
        </w:rPr>
      </w:pPr>
      <w:r w:rsidRPr="00AE25CD">
        <w:rPr>
          <w:rStyle w:val="FootnoteReference"/>
          <w:rFonts w:ascii="Arial" w:hAnsi="Arial" w:cs="Arial"/>
          <w:sz w:val="16"/>
          <w:szCs w:val="16"/>
        </w:rPr>
        <w:footnoteRef/>
      </w:r>
      <w:r w:rsidRPr="00AE25CD">
        <w:rPr>
          <w:rFonts w:ascii="Arial" w:hAnsi="Arial" w:cs="Arial"/>
          <w:sz w:val="16"/>
          <w:szCs w:val="16"/>
        </w:rPr>
        <w:t xml:space="preserve"> The Bucharest Communique </w:t>
      </w:r>
      <w:r>
        <w:rPr>
          <w:rFonts w:ascii="Arial" w:hAnsi="Arial" w:cs="Arial"/>
          <w:sz w:val="16"/>
          <w:szCs w:val="16"/>
        </w:rPr>
        <w:t xml:space="preserve">(2012) </w:t>
      </w:r>
      <w:r w:rsidRPr="00AE25CD">
        <w:rPr>
          <w:rFonts w:ascii="Arial" w:hAnsi="Arial" w:cs="Arial"/>
          <w:sz w:val="16"/>
          <w:szCs w:val="16"/>
        </w:rPr>
        <w:t>states that “</w:t>
      </w:r>
      <w:r w:rsidRPr="00AE25CD">
        <w:rPr>
          <w:rFonts w:ascii="Arial" w:eastAsiaTheme="minorEastAsia" w:hAnsi="Arial" w:cs="Arial"/>
          <w:sz w:val="16"/>
          <w:szCs w:val="16"/>
          <w:lang w:eastAsia="zh-CN"/>
        </w:rPr>
        <w:t>The student body entering and graduating from higher education institutions should reflect the diversity of Europe’s populations</w:t>
      </w:r>
      <w:r>
        <w:rPr>
          <w:rFonts w:ascii="Arial" w:eastAsiaTheme="minorEastAsia" w:hAnsi="Arial" w:cs="Arial"/>
          <w:sz w:val="16"/>
          <w:szCs w:val="16"/>
          <w:lang w:eastAsia="zh-CN"/>
        </w:rPr>
        <w:t xml:space="preserve">”, available at: </w:t>
      </w:r>
      <w:r w:rsidRPr="00AE25CD">
        <w:rPr>
          <w:rFonts w:ascii="Arial" w:eastAsiaTheme="minorEastAsia" w:hAnsi="Arial" w:cs="Arial"/>
          <w:sz w:val="16"/>
          <w:szCs w:val="16"/>
          <w:lang w:eastAsia="zh-CN"/>
        </w:rPr>
        <w:t>http://media.ehea.info/file/2012_Bucharest/67/3/Bucharest_Communique_2012_610673.pdf</w:t>
      </w:r>
    </w:p>
  </w:footnote>
  <w:footnote w:id="18">
    <w:p w:rsidR="0077627C" w:rsidRPr="003C3399" w:rsidRDefault="0077627C" w:rsidP="0077627C">
      <w:pPr>
        <w:pStyle w:val="FootnoteText"/>
        <w:rPr>
          <w:rFonts w:ascii="Arial" w:hAnsi="Arial" w:cs="Arial"/>
          <w:sz w:val="16"/>
          <w:szCs w:val="16"/>
        </w:rPr>
      </w:pPr>
      <w:r w:rsidRPr="003C3399">
        <w:rPr>
          <w:rStyle w:val="FootnoteReference"/>
          <w:rFonts w:ascii="Arial" w:hAnsi="Arial" w:cs="Arial"/>
          <w:sz w:val="16"/>
          <w:szCs w:val="16"/>
        </w:rPr>
        <w:footnoteRef/>
      </w:r>
      <w:r w:rsidRPr="003C3399">
        <w:rPr>
          <w:rFonts w:ascii="Arial" w:hAnsi="Arial" w:cs="Arial"/>
          <w:sz w:val="16"/>
          <w:szCs w:val="16"/>
        </w:rPr>
        <w:t xml:space="preserve"> The Fundamental Rights Agency’s </w:t>
      </w:r>
      <w:r w:rsidRPr="003C3399">
        <w:rPr>
          <w:rFonts w:ascii="Arial" w:hAnsi="Arial" w:cs="Arial"/>
          <w:sz w:val="16"/>
          <w:szCs w:val="16"/>
          <w:lang w:val="en"/>
        </w:rPr>
        <w:t xml:space="preserve">media toolkit on how to include a fundamental rights angle in reporting </w:t>
      </w:r>
      <w:r>
        <w:rPr>
          <w:rFonts w:ascii="Arial" w:hAnsi="Arial" w:cs="Arial"/>
          <w:sz w:val="16"/>
          <w:szCs w:val="16"/>
          <w:lang w:val="en"/>
        </w:rPr>
        <w:t xml:space="preserve">is a useful tool, see: </w:t>
      </w:r>
      <w:r w:rsidRPr="003C3399">
        <w:rPr>
          <w:rFonts w:ascii="Arial" w:hAnsi="Arial" w:cs="Arial"/>
          <w:sz w:val="16"/>
          <w:szCs w:val="16"/>
          <w:lang w:val="en"/>
        </w:rPr>
        <w:t>http://fra.europa.eu/en/project/2017/toolkit-media-professionals-coverage-fundamental-rights-angle</w:t>
      </w:r>
    </w:p>
  </w:footnote>
  <w:footnote w:id="19">
    <w:p w:rsidR="0077627C" w:rsidRPr="00453B4E" w:rsidRDefault="0077627C" w:rsidP="0077627C">
      <w:pPr>
        <w:pStyle w:val="FootnoteText"/>
        <w:rPr>
          <w:rFonts w:ascii="Arial" w:hAnsi="Arial" w:cs="Arial"/>
          <w:sz w:val="16"/>
          <w:szCs w:val="16"/>
        </w:rPr>
      </w:pPr>
      <w:r w:rsidRPr="00453B4E">
        <w:rPr>
          <w:rStyle w:val="FootnoteReference"/>
          <w:rFonts w:ascii="Arial" w:hAnsi="Arial" w:cs="Arial"/>
          <w:sz w:val="16"/>
          <w:szCs w:val="16"/>
        </w:rPr>
        <w:footnoteRef/>
      </w:r>
      <w:r w:rsidRPr="00453B4E">
        <w:rPr>
          <w:rFonts w:ascii="Arial" w:hAnsi="Arial" w:cs="Arial"/>
          <w:sz w:val="16"/>
          <w:szCs w:val="16"/>
        </w:rPr>
        <w:t xml:space="preserve"> http://www.unesco.org/new/en/social-and-human-sciences/themes/international-migration/glossary/asylum-seeker/</w:t>
      </w:r>
    </w:p>
  </w:footnote>
  <w:footnote w:id="20">
    <w:p w:rsidR="0077627C" w:rsidRPr="00453B4E" w:rsidRDefault="0077627C" w:rsidP="0077627C">
      <w:pPr>
        <w:spacing w:after="0" w:line="240" w:lineRule="auto"/>
        <w:rPr>
          <w:rFonts w:ascii="Arial" w:hAnsi="Arial" w:cs="Arial"/>
          <w:sz w:val="16"/>
          <w:szCs w:val="16"/>
        </w:rPr>
      </w:pPr>
      <w:r w:rsidRPr="00453B4E">
        <w:rPr>
          <w:rStyle w:val="FootnoteReference"/>
          <w:rFonts w:ascii="Arial" w:hAnsi="Arial" w:cs="Arial"/>
          <w:sz w:val="16"/>
          <w:szCs w:val="16"/>
        </w:rPr>
        <w:footnoteRef/>
      </w:r>
      <w:r w:rsidRPr="00453B4E">
        <w:rPr>
          <w:rFonts w:ascii="Arial" w:hAnsi="Arial" w:cs="Arial"/>
          <w:sz w:val="16"/>
          <w:szCs w:val="16"/>
        </w:rPr>
        <w:t xml:space="preserve"> http://unesdoc.unesco.org/images/0021/002122/212270e.pdf.</w:t>
      </w:r>
    </w:p>
  </w:footnote>
  <w:footnote w:id="21">
    <w:p w:rsidR="0077627C" w:rsidRPr="00453B4E" w:rsidRDefault="0077627C" w:rsidP="0077627C">
      <w:pPr>
        <w:spacing w:after="0" w:line="240" w:lineRule="auto"/>
        <w:rPr>
          <w:rFonts w:ascii="Arial" w:hAnsi="Arial" w:cs="Arial"/>
          <w:sz w:val="16"/>
          <w:szCs w:val="16"/>
        </w:rPr>
      </w:pPr>
      <w:r w:rsidRPr="00453B4E">
        <w:rPr>
          <w:rStyle w:val="FootnoteReference"/>
          <w:rFonts w:ascii="Arial" w:hAnsi="Arial" w:cs="Arial"/>
          <w:sz w:val="16"/>
          <w:szCs w:val="16"/>
        </w:rPr>
        <w:footnoteRef/>
      </w:r>
      <w:r w:rsidRPr="00453B4E">
        <w:rPr>
          <w:rFonts w:ascii="Arial" w:hAnsi="Arial" w:cs="Arial"/>
          <w:sz w:val="16"/>
          <w:szCs w:val="16"/>
        </w:rPr>
        <w:t xml:space="preserve"> </w:t>
      </w:r>
      <w:r w:rsidRPr="000B5972">
        <w:rPr>
          <w:rFonts w:ascii="Arial" w:hAnsi="Arial" w:cs="Arial"/>
          <w:sz w:val="16"/>
          <w:szCs w:val="16"/>
        </w:rPr>
        <w:t xml:space="preserve"> </w:t>
      </w:r>
      <w:r w:rsidRPr="00453B4E">
        <w:rPr>
          <w:rFonts w:ascii="Arial" w:hAnsi="Arial" w:cs="Arial"/>
          <w:sz w:val="16"/>
          <w:szCs w:val="16"/>
        </w:rPr>
        <w:t>Riagáin , P. and Lüdi, G.  Bilingual Education: Some policy Issues. Council of Europe, 2003.</w:t>
      </w:r>
    </w:p>
  </w:footnote>
  <w:footnote w:id="22">
    <w:p w:rsidR="0077627C" w:rsidRPr="000B5972" w:rsidRDefault="0077627C" w:rsidP="0077627C">
      <w:pPr>
        <w:pStyle w:val="FootnoteText"/>
        <w:rPr>
          <w:rFonts w:ascii="Arial" w:hAnsi="Arial" w:cs="Arial"/>
          <w:sz w:val="16"/>
          <w:szCs w:val="16"/>
        </w:rPr>
      </w:pPr>
      <w:r w:rsidRPr="00453B4E">
        <w:rPr>
          <w:rStyle w:val="FootnoteReference"/>
          <w:rFonts w:ascii="Arial" w:hAnsi="Arial" w:cs="Arial"/>
          <w:sz w:val="16"/>
          <w:szCs w:val="16"/>
        </w:rPr>
        <w:footnoteRef/>
      </w:r>
      <w:r w:rsidRPr="00453B4E">
        <w:rPr>
          <w:rFonts w:ascii="Arial" w:hAnsi="Arial" w:cs="Arial"/>
          <w:sz w:val="16"/>
          <w:szCs w:val="16"/>
        </w:rPr>
        <w:t xml:space="preserve"> https://webgate.ec.europa.eu/fpfis/mwikis/eurydice/images/6/68/215_EN_Citizenship_2017_N.pdf</w:t>
      </w:r>
    </w:p>
  </w:footnote>
  <w:footnote w:id="23">
    <w:p w:rsidR="0077627C" w:rsidRPr="000B5972" w:rsidRDefault="0077627C" w:rsidP="0077627C">
      <w:pPr>
        <w:pStyle w:val="FootnoteText"/>
        <w:rPr>
          <w:rFonts w:ascii="Arial" w:hAnsi="Arial" w:cs="Arial"/>
          <w:sz w:val="16"/>
          <w:szCs w:val="16"/>
        </w:rPr>
      </w:pPr>
      <w:r w:rsidRPr="00453B4E">
        <w:rPr>
          <w:rStyle w:val="FootnoteReference"/>
          <w:rFonts w:ascii="Arial" w:hAnsi="Arial" w:cs="Arial"/>
          <w:sz w:val="16"/>
          <w:szCs w:val="16"/>
        </w:rPr>
        <w:footnoteRef/>
      </w:r>
      <w:r w:rsidRPr="000B5972">
        <w:rPr>
          <w:rFonts w:ascii="Arial" w:hAnsi="Arial" w:cs="Arial"/>
          <w:sz w:val="16"/>
          <w:szCs w:val="16"/>
        </w:rPr>
        <w:t xml:space="preserve"> https://www.coe.int/t/dg4/linguistic/Source/StarkeyEN.pdf</w:t>
      </w:r>
    </w:p>
  </w:footnote>
  <w:footnote w:id="24">
    <w:p w:rsidR="0077627C" w:rsidRPr="000B5972" w:rsidRDefault="0077627C" w:rsidP="0077627C">
      <w:pPr>
        <w:pStyle w:val="FootnoteText"/>
        <w:rPr>
          <w:rFonts w:ascii="Arial" w:hAnsi="Arial" w:cs="Arial"/>
          <w:sz w:val="16"/>
          <w:szCs w:val="16"/>
        </w:rPr>
      </w:pPr>
      <w:r w:rsidRPr="00453B4E">
        <w:rPr>
          <w:rStyle w:val="FootnoteReference"/>
          <w:rFonts w:ascii="Arial" w:hAnsi="Arial" w:cs="Arial"/>
          <w:sz w:val="16"/>
          <w:szCs w:val="16"/>
        </w:rPr>
        <w:footnoteRef/>
      </w:r>
      <w:r w:rsidRPr="000B5972">
        <w:rPr>
          <w:rFonts w:ascii="Arial" w:hAnsi="Arial" w:cs="Arial"/>
          <w:sz w:val="16"/>
          <w:szCs w:val="16"/>
        </w:rPr>
        <w:t xml:space="preserve"> http://www.unesco.org/education/pdf/DISCRI_E.PDF</w:t>
      </w:r>
    </w:p>
  </w:footnote>
  <w:footnote w:id="25">
    <w:p w:rsidR="0077627C" w:rsidRPr="00453B4E" w:rsidRDefault="0077627C" w:rsidP="0077627C">
      <w:pPr>
        <w:spacing w:after="0" w:line="240" w:lineRule="auto"/>
        <w:rPr>
          <w:rFonts w:ascii="Arial" w:hAnsi="Arial" w:cs="Arial"/>
          <w:sz w:val="16"/>
          <w:szCs w:val="16"/>
        </w:rPr>
      </w:pPr>
      <w:r w:rsidRPr="00453B4E">
        <w:rPr>
          <w:rStyle w:val="FootnoteReference"/>
          <w:rFonts w:ascii="Arial" w:hAnsi="Arial" w:cs="Arial"/>
          <w:sz w:val="16"/>
          <w:szCs w:val="16"/>
        </w:rPr>
        <w:footnoteRef/>
      </w:r>
      <w:r w:rsidRPr="00453B4E">
        <w:rPr>
          <w:rFonts w:ascii="Arial" w:hAnsi="Arial" w:cs="Arial"/>
          <w:sz w:val="16"/>
          <w:szCs w:val="16"/>
        </w:rPr>
        <w:t xml:space="preserve"> Evans, M., ‘Diversity Act III’, </w:t>
      </w:r>
      <w:r w:rsidRPr="00453B4E">
        <w:rPr>
          <w:rFonts w:ascii="Arial" w:hAnsi="Arial" w:cs="Arial"/>
          <w:i/>
          <w:sz w:val="16"/>
          <w:szCs w:val="16"/>
        </w:rPr>
        <w:t>Semionaut</w:t>
      </w:r>
      <w:r w:rsidRPr="00453B4E">
        <w:rPr>
          <w:rFonts w:ascii="Arial" w:hAnsi="Arial" w:cs="Arial"/>
          <w:sz w:val="16"/>
          <w:szCs w:val="16"/>
        </w:rPr>
        <w:t xml:space="preserve">. Feb 5, 2014. </w:t>
      </w:r>
      <w:hyperlink r:id="rId1">
        <w:r w:rsidRPr="00453B4E">
          <w:rPr>
            <w:rFonts w:ascii="Arial" w:hAnsi="Arial" w:cs="Arial"/>
            <w:color w:val="0000FF"/>
            <w:sz w:val="16"/>
            <w:szCs w:val="16"/>
            <w:u w:val="single"/>
          </w:rPr>
          <w:t>http://www.semionaut.net/diversity-act-iii/</w:t>
        </w:r>
      </w:hyperlink>
      <w:r w:rsidRPr="00453B4E">
        <w:rPr>
          <w:rFonts w:ascii="Arial" w:hAnsi="Arial" w:cs="Arial"/>
          <w:sz w:val="16"/>
          <w:szCs w:val="16"/>
        </w:rPr>
        <w:t xml:space="preserve"> </w:t>
      </w:r>
    </w:p>
  </w:footnote>
  <w:footnote w:id="26">
    <w:p w:rsidR="0077627C" w:rsidRPr="00B159BF" w:rsidRDefault="0077627C" w:rsidP="0077627C">
      <w:pPr>
        <w:spacing w:after="0" w:line="240" w:lineRule="auto"/>
        <w:rPr>
          <w:rFonts w:ascii="Arial" w:hAnsi="Arial" w:cs="Arial"/>
          <w:sz w:val="16"/>
          <w:szCs w:val="16"/>
        </w:rPr>
      </w:pPr>
      <w:r w:rsidRPr="00453B4E">
        <w:rPr>
          <w:rStyle w:val="FootnoteReference"/>
          <w:rFonts w:ascii="Arial" w:hAnsi="Arial" w:cs="Arial"/>
          <w:sz w:val="16"/>
          <w:szCs w:val="16"/>
        </w:rPr>
        <w:footnoteRef/>
      </w:r>
      <w:r w:rsidRPr="00453B4E">
        <w:rPr>
          <w:rFonts w:ascii="Arial" w:hAnsi="Arial" w:cs="Arial"/>
          <w:sz w:val="16"/>
          <w:szCs w:val="16"/>
        </w:rPr>
        <w:t xml:space="preserve">  Pinto, L.E., Rottman, C., and Barrett</w:t>
      </w:r>
      <w:r w:rsidRPr="00B159BF">
        <w:rPr>
          <w:rFonts w:ascii="Arial" w:hAnsi="Arial" w:cs="Arial"/>
          <w:sz w:val="16"/>
          <w:szCs w:val="16"/>
        </w:rPr>
        <w:t>, S.E. Social Justice: The missing link in school administrator’s perspectives on teacher induction., 2012, p.2.</w:t>
      </w:r>
    </w:p>
  </w:footnote>
  <w:footnote w:id="27">
    <w:p w:rsidR="0077627C" w:rsidRPr="000B5972" w:rsidRDefault="0077627C" w:rsidP="0077627C">
      <w:pPr>
        <w:spacing w:after="0"/>
        <w:rPr>
          <w:rFonts w:ascii="Arial" w:hAnsi="Arial" w:cs="Arial"/>
          <w:sz w:val="16"/>
          <w:szCs w:val="16"/>
        </w:rPr>
      </w:pPr>
      <w:r w:rsidRPr="00453B4E">
        <w:rPr>
          <w:rStyle w:val="FootnoteReference"/>
          <w:rFonts w:ascii="Arial" w:hAnsi="Arial" w:cs="Arial"/>
          <w:sz w:val="16"/>
          <w:szCs w:val="16"/>
        </w:rPr>
        <w:footnoteRef/>
      </w:r>
      <w:r w:rsidRPr="000B5972">
        <w:rPr>
          <w:rFonts w:ascii="Arial" w:hAnsi="Arial" w:cs="Arial"/>
          <w:sz w:val="16"/>
          <w:szCs w:val="16"/>
        </w:rPr>
        <w:t xml:space="preserve"> https://www.coe.int/t/dg4/nscentre/GE/GE/Maastricht_Global_Education_Declaration_EN.pdf</w:t>
      </w:r>
    </w:p>
  </w:footnote>
  <w:footnote w:id="28">
    <w:p w:rsidR="0077627C" w:rsidRPr="000B5972" w:rsidRDefault="0077627C" w:rsidP="0077627C">
      <w:pPr>
        <w:pStyle w:val="FootnoteText"/>
        <w:rPr>
          <w:rFonts w:ascii="Arial" w:hAnsi="Arial" w:cs="Arial"/>
          <w:sz w:val="16"/>
          <w:szCs w:val="16"/>
        </w:rPr>
      </w:pPr>
      <w:r w:rsidRPr="00453B4E">
        <w:rPr>
          <w:rStyle w:val="FootnoteReference"/>
          <w:rFonts w:ascii="Arial" w:hAnsi="Arial" w:cs="Arial"/>
          <w:sz w:val="16"/>
          <w:szCs w:val="16"/>
        </w:rPr>
        <w:footnoteRef/>
      </w:r>
      <w:r w:rsidRPr="000B5972">
        <w:rPr>
          <w:rFonts w:ascii="Arial" w:hAnsi="Arial" w:cs="Arial"/>
          <w:sz w:val="16"/>
          <w:szCs w:val="16"/>
        </w:rPr>
        <w:t xml:space="preserve"> http://www.interculturaldialogue.eu/web/intercultural-dialogue.php</w:t>
      </w:r>
    </w:p>
  </w:footnote>
  <w:footnote w:id="29">
    <w:p w:rsidR="0077627C" w:rsidRPr="00453B4E" w:rsidRDefault="0077627C" w:rsidP="0077627C">
      <w:pPr>
        <w:pStyle w:val="FootnoteText"/>
        <w:rPr>
          <w:rFonts w:ascii="Arial" w:hAnsi="Arial" w:cs="Arial"/>
          <w:sz w:val="16"/>
          <w:szCs w:val="16"/>
        </w:rPr>
      </w:pPr>
      <w:r w:rsidRPr="00453B4E">
        <w:rPr>
          <w:rStyle w:val="FootnoteReference"/>
          <w:rFonts w:ascii="Arial" w:hAnsi="Arial" w:cs="Arial"/>
          <w:sz w:val="16"/>
          <w:szCs w:val="16"/>
        </w:rPr>
        <w:footnoteRef/>
      </w:r>
      <w:r w:rsidRPr="00453B4E">
        <w:rPr>
          <w:rFonts w:ascii="Arial" w:hAnsi="Arial" w:cs="Arial"/>
          <w:sz w:val="16"/>
          <w:szCs w:val="16"/>
        </w:rPr>
        <w:t xml:space="preserve"> The Council Conclusions of May 2016 specified that media literacy concerns “all the technical, cognitive, social, civic and creative capacities that allow us to access and have a critical understanding of and interact with both traditional and new forms of media”.</w:t>
      </w:r>
    </w:p>
  </w:footnote>
  <w:footnote w:id="30">
    <w:p w:rsidR="0077627C" w:rsidRPr="000B5972" w:rsidRDefault="0077627C" w:rsidP="0077627C">
      <w:pPr>
        <w:pStyle w:val="FootnoteText"/>
        <w:rPr>
          <w:rFonts w:ascii="Arial" w:hAnsi="Arial" w:cs="Arial"/>
          <w:sz w:val="16"/>
          <w:szCs w:val="16"/>
        </w:rPr>
      </w:pPr>
      <w:r w:rsidRPr="00453B4E">
        <w:rPr>
          <w:rStyle w:val="FootnoteReference"/>
          <w:rFonts w:ascii="Arial" w:hAnsi="Arial" w:cs="Arial"/>
          <w:sz w:val="16"/>
          <w:szCs w:val="16"/>
        </w:rPr>
        <w:footnoteRef/>
      </w:r>
      <w:r w:rsidRPr="000B5972">
        <w:rPr>
          <w:rFonts w:ascii="Arial" w:hAnsi="Arial" w:cs="Arial"/>
          <w:sz w:val="16"/>
          <w:szCs w:val="16"/>
        </w:rPr>
        <w:t>http://ec.europa.eu/regional_policy/sources/docgener/informat/2014/thematic_guidance_fiche_segregation_en.pdf</w:t>
      </w:r>
    </w:p>
  </w:footnote>
  <w:footnote w:id="31">
    <w:p w:rsidR="0077627C" w:rsidRPr="000B5972" w:rsidRDefault="0077627C" w:rsidP="0077627C">
      <w:pPr>
        <w:pStyle w:val="FootnoteText"/>
        <w:rPr>
          <w:rFonts w:ascii="Arial" w:hAnsi="Arial" w:cs="Arial"/>
          <w:sz w:val="16"/>
          <w:szCs w:val="16"/>
        </w:rPr>
      </w:pPr>
      <w:r w:rsidRPr="00453B4E">
        <w:rPr>
          <w:rStyle w:val="FootnoteReference"/>
          <w:rFonts w:ascii="Arial" w:hAnsi="Arial" w:cs="Arial"/>
          <w:sz w:val="16"/>
          <w:szCs w:val="16"/>
        </w:rPr>
        <w:footnoteRef/>
      </w:r>
      <w:r w:rsidRPr="000B5972">
        <w:rPr>
          <w:rFonts w:ascii="Arial" w:hAnsi="Arial" w:cs="Arial"/>
          <w:sz w:val="16"/>
          <w:szCs w:val="16"/>
        </w:rPr>
        <w:t xml:space="preserve"> http://ec.europa.eu/education/policy/school/competences_en.htm</w:t>
      </w:r>
    </w:p>
  </w:footnote>
  <w:footnote w:id="32">
    <w:p w:rsidR="0077627C" w:rsidRPr="000B5972" w:rsidRDefault="0077627C" w:rsidP="0077627C">
      <w:pPr>
        <w:pStyle w:val="FootnoteText"/>
        <w:rPr>
          <w:rFonts w:ascii="Arial" w:hAnsi="Arial" w:cs="Arial"/>
          <w:sz w:val="16"/>
          <w:szCs w:val="16"/>
        </w:rPr>
      </w:pPr>
      <w:r w:rsidRPr="00453B4E">
        <w:rPr>
          <w:rStyle w:val="FootnoteReference"/>
          <w:rFonts w:ascii="Arial" w:hAnsi="Arial" w:cs="Arial"/>
          <w:sz w:val="16"/>
          <w:szCs w:val="16"/>
        </w:rPr>
        <w:footnoteRef/>
      </w:r>
      <w:r w:rsidRPr="000B5972">
        <w:rPr>
          <w:rFonts w:ascii="Arial" w:hAnsi="Arial" w:cs="Arial"/>
          <w:sz w:val="16"/>
          <w:szCs w:val="16"/>
        </w:rPr>
        <w:t xml:space="preserve"> http://portal.unesco.org/en/ev.php-URL_ID=13175&amp;URL_DO=DO_TOPIC&amp;URL_SECTION=201.html</w:t>
      </w:r>
    </w:p>
  </w:footnote>
  <w:footnote w:id="33">
    <w:p w:rsidR="0077627C" w:rsidRPr="000B5972" w:rsidRDefault="0077627C" w:rsidP="0077627C">
      <w:pPr>
        <w:pStyle w:val="FootnoteText"/>
        <w:rPr>
          <w:rFonts w:ascii="Arial" w:hAnsi="Arial" w:cs="Arial"/>
          <w:sz w:val="16"/>
          <w:szCs w:val="16"/>
        </w:rPr>
      </w:pPr>
      <w:r w:rsidRPr="00453B4E">
        <w:rPr>
          <w:rStyle w:val="FootnoteReference"/>
          <w:rFonts w:ascii="Arial" w:hAnsi="Arial" w:cs="Arial"/>
          <w:sz w:val="16"/>
          <w:szCs w:val="16"/>
        </w:rPr>
        <w:footnoteRef/>
      </w:r>
      <w:r w:rsidRPr="000B5972">
        <w:rPr>
          <w:rFonts w:ascii="Arial" w:hAnsi="Arial" w:cs="Arial"/>
          <w:sz w:val="16"/>
          <w:szCs w:val="16"/>
        </w:rPr>
        <w:t xml:space="preserve"> https://epthinktank.eu/2015/11/16/promoting-tolerance-in-the-eu/</w:t>
      </w:r>
    </w:p>
  </w:footnote>
  <w:footnote w:id="34">
    <w:p w:rsidR="0077627C" w:rsidRPr="00453B4E" w:rsidRDefault="0077627C" w:rsidP="0077627C">
      <w:pPr>
        <w:pStyle w:val="FootnoteText"/>
        <w:rPr>
          <w:rFonts w:ascii="Arial" w:hAnsi="Arial" w:cs="Arial"/>
          <w:sz w:val="16"/>
          <w:szCs w:val="16"/>
        </w:rPr>
      </w:pPr>
      <w:r w:rsidRPr="00453B4E">
        <w:rPr>
          <w:rStyle w:val="FootnoteReference"/>
          <w:rFonts w:ascii="Arial" w:hAnsi="Arial" w:cs="Arial"/>
          <w:sz w:val="16"/>
          <w:szCs w:val="16"/>
        </w:rPr>
        <w:footnoteRef/>
      </w:r>
      <w:r w:rsidRPr="00453B4E">
        <w:rPr>
          <w:rFonts w:ascii="Arial" w:hAnsi="Arial" w:cs="Arial"/>
          <w:sz w:val="16"/>
          <w:szCs w:val="16"/>
        </w:rPr>
        <w:t xml:space="preserve"> European Commission (2015) A whole school approach to tackling early school leaving: Policy messages. http://ec.europa.eu/education/policy/strategic-framework/expert-groups/documents/early-leaving-policy_en.pdf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B14" w:rsidRPr="00157CCC" w:rsidRDefault="00977B14" w:rsidP="00157CCC">
    <w:pPr>
      <w:pStyle w:val="Header"/>
      <w:jc w:val="left"/>
      <w:rPr>
        <w:i w:val="0"/>
      </w:rPr>
    </w:pPr>
    <w:r w:rsidRPr="000173A8">
      <w:rPr>
        <w:i w:val="0"/>
        <w:noProof/>
      </w:rPr>
      <w:drawing>
        <wp:anchor distT="0" distB="0" distL="114300" distR="114300" simplePos="0" relativeHeight="251667968" behindDoc="1" locked="0" layoutInCell="1" allowOverlap="1" wp14:anchorId="41D25C8E" wp14:editId="3E359298">
          <wp:simplePos x="0" y="0"/>
          <wp:positionH relativeFrom="margin">
            <wp:posOffset>15875</wp:posOffset>
          </wp:positionH>
          <wp:positionV relativeFrom="margin">
            <wp:posOffset>-673735</wp:posOffset>
          </wp:positionV>
          <wp:extent cx="2260600" cy="439420"/>
          <wp:effectExtent l="0" t="0" r="6350" b="0"/>
          <wp:wrapTight wrapText="bothSides">
            <wp:wrapPolygon edited="0">
              <wp:start x="3458" y="0"/>
              <wp:lineTo x="0" y="5618"/>
              <wp:lineTo x="0" y="20601"/>
              <wp:lineTo x="20569" y="20601"/>
              <wp:lineTo x="21479" y="20601"/>
              <wp:lineTo x="21479" y="14983"/>
              <wp:lineTo x="20751" y="14046"/>
              <wp:lineTo x="20204" y="9364"/>
              <wp:lineTo x="6007" y="0"/>
              <wp:lineTo x="3458" y="0"/>
            </wp:wrapPolygon>
          </wp:wrapTight>
          <wp:docPr id="10" name="Picture 10" descr="logo-ce-horizontal-en-educ-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ogo-ce-horizontal-en-educ-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3A8">
      <w:rPr>
        <w:i w:val="0"/>
        <w:noProof/>
      </w:rPr>
      <mc:AlternateContent>
        <mc:Choice Requires="wps">
          <w:drawing>
            <wp:anchor distT="0" distB="0" distL="114300" distR="114300" simplePos="0" relativeHeight="251666944" behindDoc="0" locked="0" layoutInCell="1" allowOverlap="1" wp14:anchorId="2845B759" wp14:editId="15979AEA">
              <wp:simplePos x="0" y="0"/>
              <wp:positionH relativeFrom="page">
                <wp:posOffset>1096010</wp:posOffset>
              </wp:positionH>
              <wp:positionV relativeFrom="page">
                <wp:posOffset>1119505</wp:posOffset>
              </wp:positionV>
              <wp:extent cx="5550535" cy="0"/>
              <wp:effectExtent l="0" t="0" r="12065" b="19050"/>
              <wp:wrapNone/>
              <wp:docPr id="1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03A854A" id="_x0000_t32" coordsize="21600,21600" o:spt="32" o:oned="t" path="m,l21600,21600e" filled="f">
              <v:path arrowok="t" fillok="f" o:connecttype="none"/>
              <o:lock v:ext="edit" shapetype="t"/>
            </v:shapetype>
            <v:shape id="AutoShape 44" o:spid="_x0000_s1026" type="#_x0000_t32" style="position:absolute;margin-left:86.3pt;margin-top:88.15pt;width:437.05pt;height:0;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RCTlwIAAHYFAAAOAAAAZHJzL2Uyb0RvYy54bWysVE2PmzAQvVfqf7B8Z4EE8oE2WWWB9LJt&#13;&#10;V9qtenawCVbBRrYTElX97x2bQJPtpao2kZDH9rx5M2/G9w+npkZHpjSXYoXDuwAjJgpJudiv8LfX&#13;&#10;rbfASBsiKKmlYCt8Zho/rD9+uO/ahE1kJWvKFAIQoZOuXeHKmDbxfV1UrCH6TrZMwGEpVUMMmGrv&#13;&#10;U0U6QG9qfxIEM7+TirZKFkxr2M36Q7x2+GXJCvO1LDUzqF5h4GbcV7nvzn799T1J9oq0FS8uNMh/&#13;&#10;sGgIFxB0hMqIIeig+F9QDS+U1LI0d4VsfFmWvGAuB8gmDN5k81KRlrlcoDi6Hcuk3w+2+HJ8VohT&#13;&#10;0C7CSJAGNNocjHShURTZAnWtTuBeKp6VTbE4iZf2SRY/NBIyrYjYM3f79dyCc2g9/BsXa+gWwuy6&#13;&#10;z5LCHQIBXLVOpWosJNQBnZwo51EUdjKogM04joN4GmNUDGc+SQbHVmnzickG2cUKa6MI31cmlUKA&#13;&#10;9FKFLgw5PmljaZFkcLBRhdzyunYdUAvUrfAynsTOQcuaU3tor2m136W1Qkdie8j9XI5wcn1NyYOg&#13;&#10;DqxihOaXtSG87tcQvBYWj7m27BmBdTKwdPuQsGuZn8tgmS/yReRFk1nuRUGWeZttGnmzbTiPs2mW&#13;&#10;pln4yxINo6TilDJhuQ7tG0b/1h6XQeobb2zgsSj+LbqrHpC9ZbrZxsE8mi68+TyeetE0D7zHxTb1&#13;&#10;Nmk4m83zx/Qxf8M0d9nr9yE7ltKykgfD1EtFO0S5bYZpvJyEGAwY98m81w2Reg/vVGEURkqa79xU&#13;&#10;rndt11mMG60Xgf1ftB7R+0IMGlprVOGS259SgeaDvm4k7BT087ST9PyshlGB4XZOl4fIvh7XNqyv&#13;&#10;n8v1bwAAAP//AwBQSwMEFAAGAAgAAAAhAM8z1pHiAAAAEQEAAA8AAABkcnMvZG93bnJldi54bWxM&#13;&#10;T01PwzAMvSPxHyIjcUEsXYFu65pOE4gDx31IXLPGtIXGqZp0Lfv1uBISXCw/+/n5vWwz2kacsfO1&#13;&#10;IwXzWQQCqXCmplLB8fB6vwThgyajG0eo4Bs9bPLrq0ynxg20w/M+lIJFyKdaQRVCm0rpiwqt9jPX&#13;&#10;IvHuw3VWB4ZdKU2nBxa3jYyjKJFW18QfKt3ic4XF1763CtD3T/Nou7Ll8e0y3L3Hl8+hPSh1ezO+&#13;&#10;rLls1yACjuHvAqYM7B9yNnZyPRkvGsaLOGHq1CQPICZG9JgsQJx+RzLP5P8k+Q8AAAD//wMAUEsB&#13;&#10;Ai0AFAAGAAgAAAAhALaDOJL+AAAA4QEAABMAAAAAAAAAAAAAAAAAAAAAAFtDb250ZW50X1R5cGVz&#13;&#10;XS54bWxQSwECLQAUAAYACAAAACEAOP0h/9YAAACUAQAACwAAAAAAAAAAAAAAAAAvAQAAX3JlbHMv&#13;&#10;LnJlbHNQSwECLQAUAAYACAAAACEAGU0Qk5cCAAB2BQAADgAAAAAAAAAAAAAAAAAuAgAAZHJzL2Uy&#13;&#10;b0RvYy54bWxQSwECLQAUAAYACAAAACEAzzPWkeIAAAARAQAADwAAAAAAAAAAAAAAAADxBAAAZHJz&#13;&#10;L2Rvd25yZXYueG1sUEsFBgAAAAAEAAQA8wAAAAAGAAAAAA==&#13;&#1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B14" w:rsidRDefault="00977B14" w:rsidP="00157CCC">
    <w:pPr>
      <w:pStyle w:val="Header"/>
      <w:jc w:val="left"/>
      <w:rPr>
        <w:i w:val="0"/>
      </w:rPr>
    </w:pPr>
  </w:p>
  <w:p w:rsidR="00977B14" w:rsidRPr="00157CCC" w:rsidRDefault="00977B14" w:rsidP="00157CCC">
    <w:pPr>
      <w:pStyle w:val="Header"/>
      <w:jc w:val="left"/>
      <w:rPr>
        <w:i w:val="0"/>
      </w:rPr>
    </w:pPr>
    <w:r>
      <w:rPr>
        <w:i w:val="0"/>
        <w:noProof/>
      </w:rPr>
      <mc:AlternateContent>
        <mc:Choice Requires="wps">
          <w:drawing>
            <wp:anchor distT="0" distB="0" distL="114300" distR="114300" simplePos="0" relativeHeight="251661824" behindDoc="1" locked="0" layoutInCell="1" allowOverlap="1" wp14:anchorId="43160B74" wp14:editId="3FC227E0">
              <wp:simplePos x="0" y="0"/>
              <wp:positionH relativeFrom="page">
                <wp:posOffset>0</wp:posOffset>
              </wp:positionH>
              <wp:positionV relativeFrom="page">
                <wp:posOffset>-1270</wp:posOffset>
              </wp:positionV>
              <wp:extent cx="7676515" cy="1362075"/>
              <wp:effectExtent l="0" t="0" r="0" b="0"/>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6515" cy="1362075"/>
                      </a:xfrm>
                      <a:prstGeom prst="rect">
                        <a:avLst/>
                      </a:prstGeom>
                      <a:solidFill>
                        <a:srgbClr val="009EC7"/>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D5FD2" id="Rectangle 55" o:spid="_x0000_s1026" style="position:absolute;margin-left:0;margin-top:-.1pt;width:604.45pt;height:107.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bd89gIAAEEGAAAOAAAAZHJzL2Uyb0RvYy54bWysVNuO0zAQfUfiHyy/Z3NpLk206arttghp&#13;&#10;gRUL4tmNncYisYPtNrsg/p2x03Zb4AEBrRR57PH4nDOX65vHrkV7pjSXosThVYARE5WkXGxL/PHD&#13;&#10;2ptipA0RlLRSsBI/MY1vZi9fXA99wSLZyJYyhSCI0MXQl7gxpi98X1cN64i+kj0TcFhL1REDptr6&#13;&#10;VJEBonetHwVB6g9S0V7JimkNu7fjIZ65+HXNKvOurjUzqC0xYDPuq9x3Y7/+7JoUW0X6hlcHGOQv&#13;&#10;UHSEC3j0FOqWGIJ2iv8SquOVklrW5qqSnS/rmlfMcQA2YfATm4eG9MxxAXF0f5JJ/7+w1dv9vUKc&#13;&#10;ljjFSJAOUvQeRCNi2zKUJFafodcFuD3098oy1P2drD5rJOSyATc2V0oODSMUUIXW37+4YA0NV9Fm&#13;&#10;eCMphCc7I51Uj7XqbEAQAT26jDydMsIeDapgM0uzNAkTjCo4CydpFGQOk0+K4/VeafOKyQ7ZRYkV&#13;&#10;oHfhyf5OGwuHFEcXB1+2nK552zpDbTfLVqE9seUR5Ktl5hgAy3O3VlhnIe21MeK4w1yBjc+QAjDD&#13;&#10;0npa9C753/IwioNFlHvrdJp58TpOvDwLpl4Q5os8DeI8vl1/t3DDuGg4pUzcccGOhRjGf5boQ0uM&#13;&#10;JeRKEQ0lzpMIhCPtFhqzMsqJckFLX7IP4Pc79h030KIt70o8tT6HprEpXwkKepDCEN6Oa/+SiZMf&#13;&#10;5LhUZb5OgiyeTL0sSyZePFkF3mK6XnrzZZim2WqxXKzCS1VWTmn978I4IMe0WUPugN1DQwdEua2f&#13;&#10;SZJHIQYDhkSUjXzPRERKmk/cNK41bbnaGBdCTgP7Pwh5ij4K8fzwmU4Hbs9SQcUea8n1km2fsQ03&#13;&#10;kj5BKwEG+7Sdu7BopPqK0QAzrMT6y44ohlH7WkA75mEc26HnjDjJIjDU+cnm/ISICkKV2EDRuOXS&#13;&#10;jINy1yu+beCl0LEVcg4tXHPXXLa9R1SA3xowpxyTw0y1g/Dcdl7Pk3/2AwAA//8DAFBLAwQUAAYA&#13;&#10;CAAAACEAdCjOiuMAAAAMAQAADwAAAGRycy9kb3ducmV2LnhtbEyPwU7DMBBE70j8g7VI3FonoUIl&#13;&#10;zaZC0CLgggilEjc3XpKAvY5itw1/j3uCy0ir0c7MK5ajNeJAg+8cI6TTBARx7XTHDcLmbT2Zg/BB&#13;&#10;sVbGMSH8kIdleX5WqFy7I7/SoQqNiCHsc4XQhtDnUvq6Jav81PXE0ft0g1UhnkMj9aCOMdwamSXJ&#13;&#10;tbSq49jQqp7uWqq/q71FeHSz6mn7/LJZm4cvm36sutX7tkO8vBjvF1FuFyACjeHvA04McT+UcdjO&#13;&#10;7Vl7YRAiTUCYZCBOZpbMb0DsELJ0dgWyLOR/iPIXAAD//wMAUEsBAi0AFAAGAAgAAAAhALaDOJL+&#13;&#10;AAAA4QEAABMAAAAAAAAAAAAAAAAAAAAAAFtDb250ZW50X1R5cGVzXS54bWxQSwECLQAUAAYACAAA&#13;&#10;ACEAOP0h/9YAAACUAQAACwAAAAAAAAAAAAAAAAAvAQAAX3JlbHMvLnJlbHNQSwECLQAUAAYACAAA&#13;&#10;ACEAcQG3fPYCAABBBgAADgAAAAAAAAAAAAAAAAAuAgAAZHJzL2Uyb0RvYy54bWxQSwECLQAUAAYA&#13;&#10;CAAAACEAdCjOiuMAAAAMAQAADwAAAAAAAAAAAAAAAABQBQAAZHJzL2Rvd25yZXYueG1sUEsFBgAA&#13;&#10;AAAEAAQA8wAAAGAGAAAAAA==&#13;&#10;" fillcolor="#009ec7"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B14" w:rsidRDefault="00977B14" w:rsidP="0092686E">
    <w:pPr>
      <w:pStyle w:val="Footer"/>
      <w:pBdr>
        <w:bottom w:val="single" w:sz="4" w:space="1" w:color="7B6F46"/>
      </w:pBdr>
      <w:tabs>
        <w:tab w:val="clear" w:pos="8306"/>
        <w:tab w:val="right" w:pos="8820"/>
      </w:tabs>
      <w:ind w:right="3027"/>
      <w:rPr>
        <w:rFonts w:cs="Arial"/>
        <w:b/>
        <w:i w:val="0"/>
        <w:noProof/>
        <w:color w:val="auto"/>
        <w:w w:val="80"/>
        <w:szCs w:val="16"/>
      </w:rPr>
    </w:pPr>
    <w:r>
      <w:rPr>
        <w:rFonts w:cs="Arial"/>
        <w:noProof/>
        <w:color w:val="auto"/>
        <w:szCs w:val="16"/>
      </w:rPr>
      <mc:AlternateContent>
        <mc:Choice Requires="wps">
          <w:drawing>
            <wp:anchor distT="0" distB="0" distL="114300" distR="114300" simplePos="0" relativeHeight="251660800" behindDoc="0" locked="0" layoutInCell="1" allowOverlap="1" wp14:anchorId="168081D6" wp14:editId="5B01B0D4">
              <wp:simplePos x="0" y="0"/>
              <wp:positionH relativeFrom="margin">
                <wp:posOffset>5719445</wp:posOffset>
              </wp:positionH>
              <wp:positionV relativeFrom="page">
                <wp:posOffset>18415</wp:posOffset>
              </wp:positionV>
              <wp:extent cx="622300" cy="1343025"/>
              <wp:effectExtent l="0" t="0" r="6350" b="9525"/>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3430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B14" w:rsidRPr="00581F3D" w:rsidRDefault="00977B14" w:rsidP="00CD63AD">
                          <w:pPr>
                            <w:rPr>
                              <w:color w:val="FFFFFF"/>
                              <w:sz w:val="16"/>
                              <w:lang w:val="fr-BE"/>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81D6" id="_x0000_t202" coordsize="21600,21600" o:spt="202" path="m,l,21600r21600,l21600,xe">
              <v:stroke joinstyle="miter"/>
              <v:path gradientshapeok="t" o:connecttype="rect"/>
            </v:shapetype>
            <v:shape id="Text Box 53" o:spid="_x0000_s1030" type="#_x0000_t202" style="position:absolute;left:0;text-align:left;margin-left:450.35pt;margin-top:1.45pt;width:49pt;height:105.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95/gpgIAAKoFAAAOAAAAZHJzL2Uyb0RvYy54bWysVNtu2zAMfR+wfxD07voSJ42NOkUbx8OA&#13;&#10;7gK0+wDFkmNhtuRJSuxi2L+PkuM06V5284NAS9QhD3nEm9uhbdCBKc2lyHB4FWDERCkpF7sMf3kq&#13;&#10;vCVG2hBBSSMFy/Az0/h29fbNTd+lLJK1bChTCECETvsuw7UxXer7uqxZS/SV7JiAw0qqlhj4VTuf&#13;&#10;KtIDetv4URAs/F4q2ilZMq1hNx8P8crhVxUrzaeq0sygJsOQm3GrcuvWrv7qhqQ7Rbqal8c0yF9k&#13;&#10;0RIuIOgJKieGoL3iv0C1vFRSy8pclbL1ZVXxkjkOwCYMXrF5rEnHHBcoju5OZdL/D7b8ePisEKcZ&#13;&#10;nmMkSAstemKDQfdyQPOZLU/f6RS8HjvwMwPsQ5sdVd09yPKrRkKuayJ27E4p2deMUEgvtDf9s6sj&#13;&#10;jrYg2/6DpBCH7I10QEOlWls7qAYCdGjT86k1NpcSNhdRNAvgpISjcBbPgmjuQpB0ut0pbd4x2SJr&#13;&#10;ZFhB6x06OTxoY7Mh6eRigwlZ8KZx7W/ExQY4jjsQG67aM5uF6+b3JEg2y80y9uJosfHiIM+9u2Id&#13;&#10;e4sivJ7ns3y9zsMfNm4YpzWnlAkbZlJWGP9e544aHzVx0paWDacWzqak1W67bhQ6EKts9x0Lcubm&#13;&#10;X6bhigBcXlEKozi4jxKvWCyvvbiI515yHSy9IEzuk0UQJ3FeXFJ64IL9OyXUZziZQx8dnT/mRtKW&#13;&#10;G5gdDW8zvDwVgKRWghtBXWsN4c1on5XCpv9SCmj31GgnWKvRUa1m2A6AYlW8lfQZpKskKAtUCAMP&#13;&#10;DLti1MPwyLD+tieKYdS8FyB/O2kmQ03GdjKIKGsJMwguj+bajBNp3ym+qwF5fGBC3sETqbhT70sW&#13;&#10;x4cFA8GROA4vO3HO/53Xy4hd/QQAAP//AwBQSwMEFAAGAAgAAAAhADg22jLfAAAADgEAAA8AAABk&#13;&#10;cnMvZG93bnJldi54bWxMT8tOwzAQvCPxD9YicUGtXbeCOI1TIaCCK2k/wI2XJCK2o9hp079nOcFl&#13;&#10;pdE8dqbYza5nZxxjF7yG1VIAQ18H2/lGw/GwX2TAYjLemj541HDFCLvy9qYwuQ0X/4nnKjWMQnzM&#13;&#10;jYY2pSHnPNYtOhOXYUBP3FcYnUkEx4bb0Vwo3PVcCvHInek8fWjNgC8t1t/V5KjGVR7W6/d+/6Fk&#13;&#10;wgdbyWx6c1rf382vWzrPW2AJ5/TngN8NZISSip3C5G1kvQYlxBNJNUgFjHilMsInwqvNBnhZ8P8z&#13;&#10;yh8AAAD//wMAUEsBAi0AFAAGAAgAAAAhALaDOJL+AAAA4QEAABMAAAAAAAAAAAAAAAAAAAAAAFtD&#13;&#10;b250ZW50X1R5cGVzXS54bWxQSwECLQAUAAYACAAAACEAOP0h/9YAAACUAQAACwAAAAAAAAAAAAAA&#13;&#10;AAAvAQAAX3JlbHMvLnJlbHNQSwECLQAUAAYACAAAACEAnvef4KYCAACqBQAADgAAAAAAAAAAAAAA&#13;&#10;AAAuAgAAZHJzL2Uyb0RvYy54bWxQSwECLQAUAAYACAAAACEAODbaMt8AAAAOAQAADwAAAAAAAAAA&#13;&#10;AAAAAAAABQAAZHJzL2Rvd25yZXYueG1sUEsFBgAAAAAEAAQA8wAAAAwGAAAAAA==&#13;&#10;" filled="f" fillcolor="black" stroked="f">
              <v:textbox style="layout-flow:vertical" inset="0,0,0,0">
                <w:txbxContent>
                  <w:p w:rsidR="00977B14" w:rsidRPr="00581F3D" w:rsidRDefault="00977B14" w:rsidP="00CD63AD">
                    <w:pPr>
                      <w:rPr>
                        <w:color w:val="FFFFFF"/>
                        <w:sz w:val="16"/>
                        <w:lang w:val="fr-BE"/>
                      </w:rPr>
                    </w:pPr>
                  </w:p>
                </w:txbxContent>
              </v:textbox>
              <w10:wrap anchorx="margin" anchory="page"/>
            </v:shape>
          </w:pict>
        </mc:Fallback>
      </mc:AlternateContent>
    </w:r>
  </w:p>
  <w:p w:rsidR="00977B14" w:rsidRDefault="00977B14"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0" distB="0" distL="114300" distR="114300" simplePos="0" relativeHeight="251659776" behindDoc="0" locked="0" layoutInCell="0" allowOverlap="1" wp14:anchorId="6AE996CB" wp14:editId="1E4AEB86">
              <wp:simplePos x="0" y="0"/>
              <wp:positionH relativeFrom="column">
                <wp:posOffset>0</wp:posOffset>
              </wp:positionH>
              <wp:positionV relativeFrom="paragraph">
                <wp:posOffset>325755</wp:posOffset>
              </wp:positionV>
              <wp:extent cx="5600700" cy="0"/>
              <wp:effectExtent l="0" t="0" r="0" b="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FDE9C" id="Line 5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UwJEwIAACkEAAAOAAAAZHJzL2Uyb0RvYy54bWysU8GO2jAQvVfqP1i+QxIaWIgIqyqBXmiL&#13;&#10;tNsPMLZDrDq2ZRsCqvrvHRuC2PZSVc3BGXvGz2/mzSyfz51EJ26d0KrE2TjFiCuqmVCHEn973Yzm&#13;&#10;GDlPFCNSK17iC3f4efX+3bI3BZ/oVkvGLQIQ5YrelLj13hRJ4mjLO+LG2nAFzkbbjnjY2kPCLOkB&#13;&#10;vZPJJE1nSa8tM1ZT7hyc1lcnXkX8puHUf20axz2SJQZuPq42rvuwJqslKQ6WmFbQGw3yDyw6IhQ8&#13;&#10;eoeqiSfoaMUfUJ2gVjvd+DHVXaKbRlAec4BssvS3bF5aYnjMBYrjzL1M7v/B0i+nnUWCgXYYKdKB&#13;&#10;RFuhOJrG0vTGFRBRqZ0NydGzejFbTb87pHTVEnXgkeLrxcC9LBQzeXMlbJyBB/b9Z80ghhy9jnU6&#13;&#10;N7YLkFABdI5yXO5y8LNHFA6nszR9SkE1OvgSUgwXjXX+E9cdCkaJJZCOwOS0dT4QIcUQEt5ReiOk&#13;&#10;jGpLhfoSL6aTabzgtBQsOEOYs4d9JS06kdAv8YtZgecxzOqjYhGs5YStb7YnQl5teFyqgAepAJ2b&#13;&#10;dW2IH4t0sZ6v5/kon8zWozyt69HHTZWPZpvsaVp/qKuqzn4GalletIIxrgK7oTmz/O/Ev43Jta3u&#13;&#10;7XkvQ/IWPdYLyA7/SDpqGeQL0+SKvWaXnR00hn6MwbfZCQ3/uAf7ccJXvwAAAP//AwBQSwMEFAAG&#13;&#10;AAgAAAAhADmh+CneAAAACwEAAA8AAABkcnMvZG93bnJldi54bWxMj0FPwzAMhe9I/IfISFwmlq4T&#13;&#10;qOqaTojRGxc2EFevMW1F43RNthV+PUYc4GLJ78nP7yvWk+vVicbQeTawmCegiGtvO24MvOyqmwxU&#13;&#10;iMgWe89k4JMCrMvLiwJz68/8TKdtbJSEcMjRQBvjkGsd6pYchrkfiMV796PDKOvYaDviWcJdr9Mk&#13;&#10;udMOO5YPLQ700FL9sT06A6F6pUP1Natnyduy8ZQeNk+PaMz11bRZybhfgYo0xb8L+GGQ/lBKsb0/&#13;&#10;sg2qNyA00cDtYglK3CxLRdj/Cros9H+G8hsAAP//AwBQSwECLQAUAAYACAAAACEAtoM4kv4AAADh&#13;&#10;AQAAEwAAAAAAAAAAAAAAAAAAAAAAW0NvbnRlbnRfVHlwZXNdLnhtbFBLAQItABQABgAIAAAAIQA4&#13;&#10;/SH/1gAAAJQBAAALAAAAAAAAAAAAAAAAAC8BAABfcmVscy8ucmVsc1BLAQItABQABgAIAAAAIQBS&#13;&#10;2UwJEwIAACkEAAAOAAAAAAAAAAAAAAAAAC4CAABkcnMvZTJvRG9jLnhtbFBLAQItABQABgAIAAAA&#13;&#10;IQA5ofgp3gAAAAsBAAAPAAAAAAAAAAAAAAAAAG0EAABkcnMvZG93bnJldi54bWxQSwUGAAAAAAQA&#13;&#10;BADzAAAAeAUAAAAA&#13;&#10;" o:allowincell="f"/>
          </w:pict>
        </mc:Fallback>
      </mc:AlternateContent>
    </w:r>
    <w:r>
      <w:rPr>
        <w:rFonts w:cs="Arial"/>
        <w:b/>
        <w:i w:val="0"/>
        <w:noProof/>
        <w:color w:val="auto"/>
        <w:w w:val="80"/>
        <w:szCs w:val="16"/>
      </w:rPr>
      <w:drawing>
        <wp:inline distT="0" distB="0" distL="0" distR="0" wp14:anchorId="3B3A3E3C" wp14:editId="4472535F">
          <wp:extent cx="5749925" cy="7536815"/>
          <wp:effectExtent l="0" t="0" r="3175" b="6985"/>
          <wp:docPr id="4" name="Picture 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porate_Word_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7536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B3D2F"/>
    <w:multiLevelType w:val="hybridMultilevel"/>
    <w:tmpl w:val="0A26B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0" w15:restartNumberingAfterBreak="0">
    <w:nsid w:val="2C404711"/>
    <w:multiLevelType w:val="hybridMultilevel"/>
    <w:tmpl w:val="FE5CBC20"/>
    <w:lvl w:ilvl="0" w:tplc="F97491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401D11"/>
    <w:multiLevelType w:val="hybridMultilevel"/>
    <w:tmpl w:val="7C426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6F10AD0"/>
    <w:multiLevelType w:val="multilevel"/>
    <w:tmpl w:val="A8C2921C"/>
    <w:numStyleLink w:val="NumbLstAnnex"/>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6"/>
  </w:num>
  <w:num w:numId="9">
    <w:abstractNumId w:val="11"/>
  </w:num>
  <w:num w:numId="10">
    <w:abstractNumId w:val="13"/>
  </w:num>
  <w:num w:numId="11">
    <w:abstractNumId w:val="9"/>
  </w:num>
  <w:num w:numId="12">
    <w:abstractNumId w:val="14"/>
  </w:num>
  <w:num w:numId="13">
    <w:abstractNumId w:val="7"/>
  </w:num>
  <w:num w:numId="14">
    <w:abstractNumId w:val="1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4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94063"/>
    <w:rsid w:val="0000014E"/>
    <w:rsid w:val="000003C7"/>
    <w:rsid w:val="000003EF"/>
    <w:rsid w:val="000011F8"/>
    <w:rsid w:val="00001C41"/>
    <w:rsid w:val="00001C97"/>
    <w:rsid w:val="00002AB0"/>
    <w:rsid w:val="00002FFA"/>
    <w:rsid w:val="00003AD6"/>
    <w:rsid w:val="000049DA"/>
    <w:rsid w:val="00004F54"/>
    <w:rsid w:val="00005E82"/>
    <w:rsid w:val="000060E8"/>
    <w:rsid w:val="00007392"/>
    <w:rsid w:val="00007AB9"/>
    <w:rsid w:val="00012675"/>
    <w:rsid w:val="00015760"/>
    <w:rsid w:val="000173A8"/>
    <w:rsid w:val="000174A7"/>
    <w:rsid w:val="000227E0"/>
    <w:rsid w:val="00024498"/>
    <w:rsid w:val="000244D6"/>
    <w:rsid w:val="000248EA"/>
    <w:rsid w:val="00026A2E"/>
    <w:rsid w:val="00026F59"/>
    <w:rsid w:val="0003038A"/>
    <w:rsid w:val="00032AAE"/>
    <w:rsid w:val="00033AEB"/>
    <w:rsid w:val="000346A7"/>
    <w:rsid w:val="00035E3B"/>
    <w:rsid w:val="00036192"/>
    <w:rsid w:val="00041DD4"/>
    <w:rsid w:val="000435D7"/>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ED6"/>
    <w:rsid w:val="00061164"/>
    <w:rsid w:val="000632ED"/>
    <w:rsid w:val="00063F99"/>
    <w:rsid w:val="0006560C"/>
    <w:rsid w:val="00066E95"/>
    <w:rsid w:val="000673AF"/>
    <w:rsid w:val="0006761C"/>
    <w:rsid w:val="000679B5"/>
    <w:rsid w:val="000703BE"/>
    <w:rsid w:val="00070CA8"/>
    <w:rsid w:val="0007167C"/>
    <w:rsid w:val="00071C09"/>
    <w:rsid w:val="0007390C"/>
    <w:rsid w:val="00076EB2"/>
    <w:rsid w:val="00077239"/>
    <w:rsid w:val="00081939"/>
    <w:rsid w:val="00081B17"/>
    <w:rsid w:val="00081E2B"/>
    <w:rsid w:val="00083D17"/>
    <w:rsid w:val="0008463C"/>
    <w:rsid w:val="00084C7A"/>
    <w:rsid w:val="00084DEF"/>
    <w:rsid w:val="0008560D"/>
    <w:rsid w:val="00094063"/>
    <w:rsid w:val="0009419B"/>
    <w:rsid w:val="0009490F"/>
    <w:rsid w:val="00094AB3"/>
    <w:rsid w:val="00094F28"/>
    <w:rsid w:val="000952D3"/>
    <w:rsid w:val="00095C34"/>
    <w:rsid w:val="00096A5C"/>
    <w:rsid w:val="000A17AD"/>
    <w:rsid w:val="000A360E"/>
    <w:rsid w:val="000B0E45"/>
    <w:rsid w:val="000B25EA"/>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6374"/>
    <w:rsid w:val="000D6681"/>
    <w:rsid w:val="000D7944"/>
    <w:rsid w:val="000E249B"/>
    <w:rsid w:val="000E31AA"/>
    <w:rsid w:val="000E73F8"/>
    <w:rsid w:val="000F02C6"/>
    <w:rsid w:val="000F052F"/>
    <w:rsid w:val="000F05F9"/>
    <w:rsid w:val="000F06F3"/>
    <w:rsid w:val="000F0714"/>
    <w:rsid w:val="000F0B8C"/>
    <w:rsid w:val="000F1F7F"/>
    <w:rsid w:val="000F260B"/>
    <w:rsid w:val="000F4DA4"/>
    <w:rsid w:val="000F5233"/>
    <w:rsid w:val="000F69CF"/>
    <w:rsid w:val="001037E2"/>
    <w:rsid w:val="00105386"/>
    <w:rsid w:val="00106D5D"/>
    <w:rsid w:val="001077CC"/>
    <w:rsid w:val="00107A66"/>
    <w:rsid w:val="00110F8E"/>
    <w:rsid w:val="00111F04"/>
    <w:rsid w:val="00111FC4"/>
    <w:rsid w:val="001147E1"/>
    <w:rsid w:val="00114806"/>
    <w:rsid w:val="0011600E"/>
    <w:rsid w:val="00117207"/>
    <w:rsid w:val="00117478"/>
    <w:rsid w:val="00117A1F"/>
    <w:rsid w:val="00117BC4"/>
    <w:rsid w:val="00120FB9"/>
    <w:rsid w:val="00122CE6"/>
    <w:rsid w:val="0012329F"/>
    <w:rsid w:val="001255B2"/>
    <w:rsid w:val="001257DD"/>
    <w:rsid w:val="0012596E"/>
    <w:rsid w:val="001268A8"/>
    <w:rsid w:val="00127F9A"/>
    <w:rsid w:val="00130B64"/>
    <w:rsid w:val="001332B5"/>
    <w:rsid w:val="00134DE4"/>
    <w:rsid w:val="00135350"/>
    <w:rsid w:val="00135C38"/>
    <w:rsid w:val="00140314"/>
    <w:rsid w:val="00140693"/>
    <w:rsid w:val="00140D74"/>
    <w:rsid w:val="00141C36"/>
    <w:rsid w:val="00141D40"/>
    <w:rsid w:val="00141F0C"/>
    <w:rsid w:val="00143052"/>
    <w:rsid w:val="001431C5"/>
    <w:rsid w:val="00143D09"/>
    <w:rsid w:val="001469C3"/>
    <w:rsid w:val="001470B2"/>
    <w:rsid w:val="001474AE"/>
    <w:rsid w:val="00151587"/>
    <w:rsid w:val="00151E9E"/>
    <w:rsid w:val="0015426B"/>
    <w:rsid w:val="00154D45"/>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875"/>
    <w:rsid w:val="00166C42"/>
    <w:rsid w:val="00167D03"/>
    <w:rsid w:val="0017223C"/>
    <w:rsid w:val="00172FED"/>
    <w:rsid w:val="00173357"/>
    <w:rsid w:val="00173758"/>
    <w:rsid w:val="0017457E"/>
    <w:rsid w:val="001750A9"/>
    <w:rsid w:val="00176841"/>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B5D"/>
    <w:rsid w:val="001B1F38"/>
    <w:rsid w:val="001B274D"/>
    <w:rsid w:val="001B2A43"/>
    <w:rsid w:val="001B31FB"/>
    <w:rsid w:val="001B359E"/>
    <w:rsid w:val="001B4C47"/>
    <w:rsid w:val="001B647B"/>
    <w:rsid w:val="001B6699"/>
    <w:rsid w:val="001B7595"/>
    <w:rsid w:val="001C23C1"/>
    <w:rsid w:val="001C2E2E"/>
    <w:rsid w:val="001C5151"/>
    <w:rsid w:val="001C55B8"/>
    <w:rsid w:val="001C5B54"/>
    <w:rsid w:val="001C5F31"/>
    <w:rsid w:val="001C75E8"/>
    <w:rsid w:val="001D0284"/>
    <w:rsid w:val="001D0E5D"/>
    <w:rsid w:val="001D1FDC"/>
    <w:rsid w:val="001D38B5"/>
    <w:rsid w:val="001D487F"/>
    <w:rsid w:val="001D5B1E"/>
    <w:rsid w:val="001D731D"/>
    <w:rsid w:val="001E0197"/>
    <w:rsid w:val="001E1C90"/>
    <w:rsid w:val="001E2E7B"/>
    <w:rsid w:val="001E36A3"/>
    <w:rsid w:val="001E403E"/>
    <w:rsid w:val="001E4F13"/>
    <w:rsid w:val="001E537C"/>
    <w:rsid w:val="001E5D90"/>
    <w:rsid w:val="001E724E"/>
    <w:rsid w:val="001F04AC"/>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BA2"/>
    <w:rsid w:val="00215102"/>
    <w:rsid w:val="002151EB"/>
    <w:rsid w:val="00215FF2"/>
    <w:rsid w:val="00216644"/>
    <w:rsid w:val="00220103"/>
    <w:rsid w:val="00222D37"/>
    <w:rsid w:val="0022324F"/>
    <w:rsid w:val="002236B6"/>
    <w:rsid w:val="002237B9"/>
    <w:rsid w:val="00223DF4"/>
    <w:rsid w:val="00224443"/>
    <w:rsid w:val="00224C05"/>
    <w:rsid w:val="00224EEB"/>
    <w:rsid w:val="002262DF"/>
    <w:rsid w:val="002264E0"/>
    <w:rsid w:val="002274E7"/>
    <w:rsid w:val="00227A6D"/>
    <w:rsid w:val="00227E6F"/>
    <w:rsid w:val="0023184C"/>
    <w:rsid w:val="00232AA4"/>
    <w:rsid w:val="00232BE0"/>
    <w:rsid w:val="002333B9"/>
    <w:rsid w:val="00233C18"/>
    <w:rsid w:val="00234EF7"/>
    <w:rsid w:val="0023580A"/>
    <w:rsid w:val="00240360"/>
    <w:rsid w:val="002403A1"/>
    <w:rsid w:val="002405CA"/>
    <w:rsid w:val="00242202"/>
    <w:rsid w:val="002426A1"/>
    <w:rsid w:val="00243E73"/>
    <w:rsid w:val="0024436E"/>
    <w:rsid w:val="00244951"/>
    <w:rsid w:val="00244B8A"/>
    <w:rsid w:val="002525ED"/>
    <w:rsid w:val="00252A79"/>
    <w:rsid w:val="00252CA6"/>
    <w:rsid w:val="00252EE3"/>
    <w:rsid w:val="00255805"/>
    <w:rsid w:val="00256676"/>
    <w:rsid w:val="00257789"/>
    <w:rsid w:val="00260D53"/>
    <w:rsid w:val="00262415"/>
    <w:rsid w:val="00262421"/>
    <w:rsid w:val="00263A2C"/>
    <w:rsid w:val="00263F24"/>
    <w:rsid w:val="00264114"/>
    <w:rsid w:val="0026468B"/>
    <w:rsid w:val="002658ED"/>
    <w:rsid w:val="00270CFF"/>
    <w:rsid w:val="0027211E"/>
    <w:rsid w:val="00272705"/>
    <w:rsid w:val="00273122"/>
    <w:rsid w:val="00276947"/>
    <w:rsid w:val="00276EA2"/>
    <w:rsid w:val="00280631"/>
    <w:rsid w:val="00280E7A"/>
    <w:rsid w:val="0028108A"/>
    <w:rsid w:val="002819DA"/>
    <w:rsid w:val="00282732"/>
    <w:rsid w:val="00283132"/>
    <w:rsid w:val="002837CA"/>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3B85"/>
    <w:rsid w:val="002B7B68"/>
    <w:rsid w:val="002B7C7B"/>
    <w:rsid w:val="002C08C1"/>
    <w:rsid w:val="002C09F2"/>
    <w:rsid w:val="002C2215"/>
    <w:rsid w:val="002C2756"/>
    <w:rsid w:val="002C3989"/>
    <w:rsid w:val="002C7F91"/>
    <w:rsid w:val="002D16E7"/>
    <w:rsid w:val="002D218A"/>
    <w:rsid w:val="002D2E84"/>
    <w:rsid w:val="002D3373"/>
    <w:rsid w:val="002D56F9"/>
    <w:rsid w:val="002D6B3E"/>
    <w:rsid w:val="002D7525"/>
    <w:rsid w:val="002E24C6"/>
    <w:rsid w:val="002E31BE"/>
    <w:rsid w:val="002E46FF"/>
    <w:rsid w:val="002E5742"/>
    <w:rsid w:val="002E7EC8"/>
    <w:rsid w:val="002F0159"/>
    <w:rsid w:val="002F0DFB"/>
    <w:rsid w:val="002F13D9"/>
    <w:rsid w:val="002F1B73"/>
    <w:rsid w:val="002F20E0"/>
    <w:rsid w:val="002F2269"/>
    <w:rsid w:val="002F342F"/>
    <w:rsid w:val="002F362E"/>
    <w:rsid w:val="002F37C7"/>
    <w:rsid w:val="002F46A5"/>
    <w:rsid w:val="002F4A39"/>
    <w:rsid w:val="002F5EC9"/>
    <w:rsid w:val="002F653E"/>
    <w:rsid w:val="002F67E7"/>
    <w:rsid w:val="002F6EFC"/>
    <w:rsid w:val="002F7FDF"/>
    <w:rsid w:val="00300B68"/>
    <w:rsid w:val="00301E9B"/>
    <w:rsid w:val="00302CCA"/>
    <w:rsid w:val="00303716"/>
    <w:rsid w:val="003042A8"/>
    <w:rsid w:val="00304A8F"/>
    <w:rsid w:val="00305B39"/>
    <w:rsid w:val="00306046"/>
    <w:rsid w:val="00306107"/>
    <w:rsid w:val="003063F0"/>
    <w:rsid w:val="00306F42"/>
    <w:rsid w:val="003108E4"/>
    <w:rsid w:val="00311B5F"/>
    <w:rsid w:val="00312018"/>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233E"/>
    <w:rsid w:val="00333FFE"/>
    <w:rsid w:val="00334673"/>
    <w:rsid w:val="00335487"/>
    <w:rsid w:val="00337C9E"/>
    <w:rsid w:val="003402C7"/>
    <w:rsid w:val="003436D9"/>
    <w:rsid w:val="003436F4"/>
    <w:rsid w:val="00344748"/>
    <w:rsid w:val="003460EA"/>
    <w:rsid w:val="003463D4"/>
    <w:rsid w:val="0034672A"/>
    <w:rsid w:val="003501F9"/>
    <w:rsid w:val="00350FCA"/>
    <w:rsid w:val="003552DA"/>
    <w:rsid w:val="00355427"/>
    <w:rsid w:val="0035632E"/>
    <w:rsid w:val="003565A3"/>
    <w:rsid w:val="00362BA1"/>
    <w:rsid w:val="00362BFF"/>
    <w:rsid w:val="003647CC"/>
    <w:rsid w:val="00364AD0"/>
    <w:rsid w:val="00365085"/>
    <w:rsid w:val="0036508F"/>
    <w:rsid w:val="003667A0"/>
    <w:rsid w:val="00371E6D"/>
    <w:rsid w:val="003732AD"/>
    <w:rsid w:val="0037408A"/>
    <w:rsid w:val="003746C6"/>
    <w:rsid w:val="00374CC7"/>
    <w:rsid w:val="00375071"/>
    <w:rsid w:val="00381928"/>
    <w:rsid w:val="00384552"/>
    <w:rsid w:val="00384BD0"/>
    <w:rsid w:val="003851ED"/>
    <w:rsid w:val="00387765"/>
    <w:rsid w:val="00391340"/>
    <w:rsid w:val="00391DE2"/>
    <w:rsid w:val="0039225A"/>
    <w:rsid w:val="00392777"/>
    <w:rsid w:val="00392FAE"/>
    <w:rsid w:val="00393AF3"/>
    <w:rsid w:val="00395AC8"/>
    <w:rsid w:val="003A145A"/>
    <w:rsid w:val="003A2A83"/>
    <w:rsid w:val="003A2C62"/>
    <w:rsid w:val="003A441D"/>
    <w:rsid w:val="003B1467"/>
    <w:rsid w:val="003B2D38"/>
    <w:rsid w:val="003B38F4"/>
    <w:rsid w:val="003B485F"/>
    <w:rsid w:val="003B4E4E"/>
    <w:rsid w:val="003B503D"/>
    <w:rsid w:val="003B55F8"/>
    <w:rsid w:val="003B5A92"/>
    <w:rsid w:val="003B6BA9"/>
    <w:rsid w:val="003C1365"/>
    <w:rsid w:val="003C163C"/>
    <w:rsid w:val="003C1CFF"/>
    <w:rsid w:val="003C1D02"/>
    <w:rsid w:val="003C2E25"/>
    <w:rsid w:val="003C4566"/>
    <w:rsid w:val="003C503A"/>
    <w:rsid w:val="003C5F6C"/>
    <w:rsid w:val="003C7D08"/>
    <w:rsid w:val="003D06B7"/>
    <w:rsid w:val="003D1601"/>
    <w:rsid w:val="003D4B2E"/>
    <w:rsid w:val="003D4D69"/>
    <w:rsid w:val="003D62A6"/>
    <w:rsid w:val="003D75EA"/>
    <w:rsid w:val="003E0983"/>
    <w:rsid w:val="003E199C"/>
    <w:rsid w:val="003E2961"/>
    <w:rsid w:val="003E482F"/>
    <w:rsid w:val="003E62E0"/>
    <w:rsid w:val="003E73D0"/>
    <w:rsid w:val="003E7CF2"/>
    <w:rsid w:val="003F19F7"/>
    <w:rsid w:val="003F3F30"/>
    <w:rsid w:val="003F4413"/>
    <w:rsid w:val="003F71FE"/>
    <w:rsid w:val="003F7D7A"/>
    <w:rsid w:val="00402A3A"/>
    <w:rsid w:val="00402A63"/>
    <w:rsid w:val="00404216"/>
    <w:rsid w:val="00404515"/>
    <w:rsid w:val="00405765"/>
    <w:rsid w:val="0040692E"/>
    <w:rsid w:val="00406D06"/>
    <w:rsid w:val="00406E43"/>
    <w:rsid w:val="00407360"/>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4E0"/>
    <w:rsid w:val="00442E22"/>
    <w:rsid w:val="00442F14"/>
    <w:rsid w:val="0044373C"/>
    <w:rsid w:val="00443BBB"/>
    <w:rsid w:val="00445B78"/>
    <w:rsid w:val="00450229"/>
    <w:rsid w:val="004537E0"/>
    <w:rsid w:val="00453AE2"/>
    <w:rsid w:val="00456FD5"/>
    <w:rsid w:val="00457C07"/>
    <w:rsid w:val="00460C3C"/>
    <w:rsid w:val="00464B8F"/>
    <w:rsid w:val="00464FC6"/>
    <w:rsid w:val="00466212"/>
    <w:rsid w:val="004737F0"/>
    <w:rsid w:val="00475724"/>
    <w:rsid w:val="00475B3F"/>
    <w:rsid w:val="00475ECD"/>
    <w:rsid w:val="0048082C"/>
    <w:rsid w:val="00483F42"/>
    <w:rsid w:val="0048613F"/>
    <w:rsid w:val="00487936"/>
    <w:rsid w:val="004901A2"/>
    <w:rsid w:val="004909EC"/>
    <w:rsid w:val="00491292"/>
    <w:rsid w:val="004914F0"/>
    <w:rsid w:val="00492D63"/>
    <w:rsid w:val="004930EE"/>
    <w:rsid w:val="00494F6A"/>
    <w:rsid w:val="00496B46"/>
    <w:rsid w:val="0049739E"/>
    <w:rsid w:val="004A0361"/>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2147"/>
    <w:rsid w:val="004C3E78"/>
    <w:rsid w:val="004C4CF4"/>
    <w:rsid w:val="004C5DBC"/>
    <w:rsid w:val="004C6704"/>
    <w:rsid w:val="004D037F"/>
    <w:rsid w:val="004D101F"/>
    <w:rsid w:val="004D23CD"/>
    <w:rsid w:val="004D2CAF"/>
    <w:rsid w:val="004D2FB6"/>
    <w:rsid w:val="004D4006"/>
    <w:rsid w:val="004D4B6D"/>
    <w:rsid w:val="004D549E"/>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1342"/>
    <w:rsid w:val="00532CC6"/>
    <w:rsid w:val="005337ED"/>
    <w:rsid w:val="00535381"/>
    <w:rsid w:val="00535626"/>
    <w:rsid w:val="00535D82"/>
    <w:rsid w:val="0054030E"/>
    <w:rsid w:val="00541D2F"/>
    <w:rsid w:val="00542B8A"/>
    <w:rsid w:val="00543239"/>
    <w:rsid w:val="00543A40"/>
    <w:rsid w:val="00543D66"/>
    <w:rsid w:val="00544FFC"/>
    <w:rsid w:val="0054516A"/>
    <w:rsid w:val="00545FD1"/>
    <w:rsid w:val="005501EE"/>
    <w:rsid w:val="00552AB6"/>
    <w:rsid w:val="0055305C"/>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F2"/>
    <w:rsid w:val="005837C7"/>
    <w:rsid w:val="00583B62"/>
    <w:rsid w:val="005870D5"/>
    <w:rsid w:val="00587673"/>
    <w:rsid w:val="00591817"/>
    <w:rsid w:val="00591840"/>
    <w:rsid w:val="00593256"/>
    <w:rsid w:val="00594AA6"/>
    <w:rsid w:val="00595D64"/>
    <w:rsid w:val="005963FC"/>
    <w:rsid w:val="00597995"/>
    <w:rsid w:val="00597CB4"/>
    <w:rsid w:val="00597F27"/>
    <w:rsid w:val="005A0B37"/>
    <w:rsid w:val="005A3022"/>
    <w:rsid w:val="005A3240"/>
    <w:rsid w:val="005A3F37"/>
    <w:rsid w:val="005A51ED"/>
    <w:rsid w:val="005A6731"/>
    <w:rsid w:val="005A7196"/>
    <w:rsid w:val="005B036B"/>
    <w:rsid w:val="005B103F"/>
    <w:rsid w:val="005B11FE"/>
    <w:rsid w:val="005B2582"/>
    <w:rsid w:val="005B3B7C"/>
    <w:rsid w:val="005B524F"/>
    <w:rsid w:val="005B691A"/>
    <w:rsid w:val="005B7185"/>
    <w:rsid w:val="005B7B6E"/>
    <w:rsid w:val="005C3A30"/>
    <w:rsid w:val="005C40D5"/>
    <w:rsid w:val="005C77A1"/>
    <w:rsid w:val="005D154D"/>
    <w:rsid w:val="005D4838"/>
    <w:rsid w:val="005D5B4D"/>
    <w:rsid w:val="005D5CB6"/>
    <w:rsid w:val="005D61D3"/>
    <w:rsid w:val="005D6B7F"/>
    <w:rsid w:val="005D7331"/>
    <w:rsid w:val="005D7A9E"/>
    <w:rsid w:val="005E09FC"/>
    <w:rsid w:val="005E18AD"/>
    <w:rsid w:val="005E527F"/>
    <w:rsid w:val="005E540F"/>
    <w:rsid w:val="005E6089"/>
    <w:rsid w:val="005F013E"/>
    <w:rsid w:val="005F0F15"/>
    <w:rsid w:val="005F4877"/>
    <w:rsid w:val="005F5D2E"/>
    <w:rsid w:val="005F6287"/>
    <w:rsid w:val="005F6C18"/>
    <w:rsid w:val="005F7A35"/>
    <w:rsid w:val="006006A0"/>
    <w:rsid w:val="00600DA1"/>
    <w:rsid w:val="0060125E"/>
    <w:rsid w:val="00601928"/>
    <w:rsid w:val="006022EC"/>
    <w:rsid w:val="006030E7"/>
    <w:rsid w:val="00611217"/>
    <w:rsid w:val="00612C7B"/>
    <w:rsid w:val="00612D6B"/>
    <w:rsid w:val="006149FB"/>
    <w:rsid w:val="00615868"/>
    <w:rsid w:val="00616157"/>
    <w:rsid w:val="006162D6"/>
    <w:rsid w:val="00616CDA"/>
    <w:rsid w:val="00620F19"/>
    <w:rsid w:val="00627594"/>
    <w:rsid w:val="00630310"/>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4B48"/>
    <w:rsid w:val="00656089"/>
    <w:rsid w:val="00657243"/>
    <w:rsid w:val="00657639"/>
    <w:rsid w:val="0065767F"/>
    <w:rsid w:val="00657D7E"/>
    <w:rsid w:val="00664E79"/>
    <w:rsid w:val="0066664B"/>
    <w:rsid w:val="00666BB1"/>
    <w:rsid w:val="00667111"/>
    <w:rsid w:val="00670D08"/>
    <w:rsid w:val="00672110"/>
    <w:rsid w:val="006745FA"/>
    <w:rsid w:val="006755F3"/>
    <w:rsid w:val="00676044"/>
    <w:rsid w:val="00676AD0"/>
    <w:rsid w:val="00677380"/>
    <w:rsid w:val="006775CD"/>
    <w:rsid w:val="00680A90"/>
    <w:rsid w:val="006814D8"/>
    <w:rsid w:val="006832EB"/>
    <w:rsid w:val="00683626"/>
    <w:rsid w:val="00683B85"/>
    <w:rsid w:val="006913B7"/>
    <w:rsid w:val="006919C9"/>
    <w:rsid w:val="00691D2A"/>
    <w:rsid w:val="00692298"/>
    <w:rsid w:val="0069492E"/>
    <w:rsid w:val="00694C99"/>
    <w:rsid w:val="006957F9"/>
    <w:rsid w:val="0069660A"/>
    <w:rsid w:val="00696C4E"/>
    <w:rsid w:val="00697F08"/>
    <w:rsid w:val="006A13F6"/>
    <w:rsid w:val="006A43BE"/>
    <w:rsid w:val="006B0464"/>
    <w:rsid w:val="006B1E63"/>
    <w:rsid w:val="006B1FDC"/>
    <w:rsid w:val="006B2590"/>
    <w:rsid w:val="006B36F6"/>
    <w:rsid w:val="006B381B"/>
    <w:rsid w:val="006B45C0"/>
    <w:rsid w:val="006B4E59"/>
    <w:rsid w:val="006B5027"/>
    <w:rsid w:val="006B6B63"/>
    <w:rsid w:val="006C06F4"/>
    <w:rsid w:val="006C1D2A"/>
    <w:rsid w:val="006C2142"/>
    <w:rsid w:val="006C360A"/>
    <w:rsid w:val="006C3718"/>
    <w:rsid w:val="006C3824"/>
    <w:rsid w:val="006C46D7"/>
    <w:rsid w:val="006C4805"/>
    <w:rsid w:val="006C5DDB"/>
    <w:rsid w:val="006C7794"/>
    <w:rsid w:val="006D0FB3"/>
    <w:rsid w:val="006D70CD"/>
    <w:rsid w:val="006D7D63"/>
    <w:rsid w:val="006E00AC"/>
    <w:rsid w:val="006E1DA2"/>
    <w:rsid w:val="006E2964"/>
    <w:rsid w:val="006E3311"/>
    <w:rsid w:val="006E6E08"/>
    <w:rsid w:val="006F18B3"/>
    <w:rsid w:val="006F408D"/>
    <w:rsid w:val="006F4372"/>
    <w:rsid w:val="006F7BE2"/>
    <w:rsid w:val="00700825"/>
    <w:rsid w:val="00700E3D"/>
    <w:rsid w:val="00703140"/>
    <w:rsid w:val="007039C8"/>
    <w:rsid w:val="00704197"/>
    <w:rsid w:val="00705724"/>
    <w:rsid w:val="00705A6B"/>
    <w:rsid w:val="00705CBD"/>
    <w:rsid w:val="00706016"/>
    <w:rsid w:val="007060F7"/>
    <w:rsid w:val="00707276"/>
    <w:rsid w:val="0070756A"/>
    <w:rsid w:val="00712158"/>
    <w:rsid w:val="00713E7A"/>
    <w:rsid w:val="007144FB"/>
    <w:rsid w:val="00714945"/>
    <w:rsid w:val="00714F58"/>
    <w:rsid w:val="007161BE"/>
    <w:rsid w:val="00721132"/>
    <w:rsid w:val="0072161D"/>
    <w:rsid w:val="00723180"/>
    <w:rsid w:val="00723820"/>
    <w:rsid w:val="00724E55"/>
    <w:rsid w:val="0072526F"/>
    <w:rsid w:val="0072748E"/>
    <w:rsid w:val="00730690"/>
    <w:rsid w:val="0073227E"/>
    <w:rsid w:val="0073398E"/>
    <w:rsid w:val="00733B69"/>
    <w:rsid w:val="0073448B"/>
    <w:rsid w:val="00736217"/>
    <w:rsid w:val="00736888"/>
    <w:rsid w:val="00740025"/>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CC3"/>
    <w:rsid w:val="00756D92"/>
    <w:rsid w:val="007574EF"/>
    <w:rsid w:val="00757738"/>
    <w:rsid w:val="007603D7"/>
    <w:rsid w:val="00761CFF"/>
    <w:rsid w:val="00763962"/>
    <w:rsid w:val="00763AC8"/>
    <w:rsid w:val="007642B3"/>
    <w:rsid w:val="007653FB"/>
    <w:rsid w:val="007654DE"/>
    <w:rsid w:val="00765AD1"/>
    <w:rsid w:val="00766BD4"/>
    <w:rsid w:val="00766D9F"/>
    <w:rsid w:val="00771847"/>
    <w:rsid w:val="00771BE7"/>
    <w:rsid w:val="00771F87"/>
    <w:rsid w:val="0077327E"/>
    <w:rsid w:val="00773EEE"/>
    <w:rsid w:val="00774B0E"/>
    <w:rsid w:val="00774C8C"/>
    <w:rsid w:val="00774D8E"/>
    <w:rsid w:val="00775762"/>
    <w:rsid w:val="00775FAA"/>
    <w:rsid w:val="0077627C"/>
    <w:rsid w:val="00776552"/>
    <w:rsid w:val="00782143"/>
    <w:rsid w:val="007822B1"/>
    <w:rsid w:val="007834D2"/>
    <w:rsid w:val="00785E49"/>
    <w:rsid w:val="00785F9F"/>
    <w:rsid w:val="007877B9"/>
    <w:rsid w:val="007921DC"/>
    <w:rsid w:val="00792417"/>
    <w:rsid w:val="007946FA"/>
    <w:rsid w:val="0079581F"/>
    <w:rsid w:val="007959F8"/>
    <w:rsid w:val="00795F35"/>
    <w:rsid w:val="0079600E"/>
    <w:rsid w:val="007A06D9"/>
    <w:rsid w:val="007A0C1F"/>
    <w:rsid w:val="007A1D64"/>
    <w:rsid w:val="007A205E"/>
    <w:rsid w:val="007A3216"/>
    <w:rsid w:val="007A4186"/>
    <w:rsid w:val="007A5A82"/>
    <w:rsid w:val="007A5EDE"/>
    <w:rsid w:val="007A5F5A"/>
    <w:rsid w:val="007A675D"/>
    <w:rsid w:val="007A6CD3"/>
    <w:rsid w:val="007B071B"/>
    <w:rsid w:val="007B14E3"/>
    <w:rsid w:val="007B3474"/>
    <w:rsid w:val="007B54B8"/>
    <w:rsid w:val="007B6610"/>
    <w:rsid w:val="007B7064"/>
    <w:rsid w:val="007B7CE2"/>
    <w:rsid w:val="007C3898"/>
    <w:rsid w:val="007C3907"/>
    <w:rsid w:val="007C4332"/>
    <w:rsid w:val="007C501F"/>
    <w:rsid w:val="007C57C3"/>
    <w:rsid w:val="007C61B4"/>
    <w:rsid w:val="007C6CDD"/>
    <w:rsid w:val="007C776D"/>
    <w:rsid w:val="007D003B"/>
    <w:rsid w:val="007D245E"/>
    <w:rsid w:val="007D4AF2"/>
    <w:rsid w:val="007D4BEB"/>
    <w:rsid w:val="007D5877"/>
    <w:rsid w:val="007E23AD"/>
    <w:rsid w:val="007E2A15"/>
    <w:rsid w:val="007E2F65"/>
    <w:rsid w:val="007E4036"/>
    <w:rsid w:val="007E440A"/>
    <w:rsid w:val="007E48EE"/>
    <w:rsid w:val="007F04F6"/>
    <w:rsid w:val="007F068B"/>
    <w:rsid w:val="007F32DE"/>
    <w:rsid w:val="007F3621"/>
    <w:rsid w:val="007F5BE5"/>
    <w:rsid w:val="007F5D96"/>
    <w:rsid w:val="007F74C2"/>
    <w:rsid w:val="007F78EA"/>
    <w:rsid w:val="007F7F97"/>
    <w:rsid w:val="007F7FC2"/>
    <w:rsid w:val="0080029B"/>
    <w:rsid w:val="00800EB0"/>
    <w:rsid w:val="00801D52"/>
    <w:rsid w:val="00802EF4"/>
    <w:rsid w:val="00806C02"/>
    <w:rsid w:val="00811844"/>
    <w:rsid w:val="00811950"/>
    <w:rsid w:val="00814AF0"/>
    <w:rsid w:val="00814C43"/>
    <w:rsid w:val="00815571"/>
    <w:rsid w:val="00816AE4"/>
    <w:rsid w:val="00817EBF"/>
    <w:rsid w:val="008202B0"/>
    <w:rsid w:val="00820982"/>
    <w:rsid w:val="00820CF6"/>
    <w:rsid w:val="00820E32"/>
    <w:rsid w:val="0082287C"/>
    <w:rsid w:val="0082297B"/>
    <w:rsid w:val="0082437C"/>
    <w:rsid w:val="00827C37"/>
    <w:rsid w:val="00831349"/>
    <w:rsid w:val="00832FBC"/>
    <w:rsid w:val="00834754"/>
    <w:rsid w:val="00835099"/>
    <w:rsid w:val="00835EBE"/>
    <w:rsid w:val="0083675E"/>
    <w:rsid w:val="008367C9"/>
    <w:rsid w:val="0084052D"/>
    <w:rsid w:val="008440D0"/>
    <w:rsid w:val="00844C86"/>
    <w:rsid w:val="008453D0"/>
    <w:rsid w:val="008464ED"/>
    <w:rsid w:val="008467E8"/>
    <w:rsid w:val="00847873"/>
    <w:rsid w:val="0085043E"/>
    <w:rsid w:val="00850739"/>
    <w:rsid w:val="00851194"/>
    <w:rsid w:val="00851FBD"/>
    <w:rsid w:val="00853DA2"/>
    <w:rsid w:val="00854722"/>
    <w:rsid w:val="00855271"/>
    <w:rsid w:val="00856C2F"/>
    <w:rsid w:val="00857194"/>
    <w:rsid w:val="008617FE"/>
    <w:rsid w:val="00863692"/>
    <w:rsid w:val="008648FD"/>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37A9"/>
    <w:rsid w:val="00883866"/>
    <w:rsid w:val="0088406F"/>
    <w:rsid w:val="0088483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5EB1"/>
    <w:rsid w:val="008B6E3D"/>
    <w:rsid w:val="008B703B"/>
    <w:rsid w:val="008B7493"/>
    <w:rsid w:val="008C01C1"/>
    <w:rsid w:val="008C03E0"/>
    <w:rsid w:val="008C105F"/>
    <w:rsid w:val="008C15A0"/>
    <w:rsid w:val="008C205D"/>
    <w:rsid w:val="008C2A2A"/>
    <w:rsid w:val="008C3F88"/>
    <w:rsid w:val="008C48A4"/>
    <w:rsid w:val="008C5BF9"/>
    <w:rsid w:val="008C63EA"/>
    <w:rsid w:val="008C717A"/>
    <w:rsid w:val="008D0555"/>
    <w:rsid w:val="008D17DE"/>
    <w:rsid w:val="008D1806"/>
    <w:rsid w:val="008D1835"/>
    <w:rsid w:val="008D2230"/>
    <w:rsid w:val="008D239B"/>
    <w:rsid w:val="008D4D8D"/>
    <w:rsid w:val="008D5314"/>
    <w:rsid w:val="008D7468"/>
    <w:rsid w:val="008E0A46"/>
    <w:rsid w:val="008E317B"/>
    <w:rsid w:val="008E3408"/>
    <w:rsid w:val="008E48D2"/>
    <w:rsid w:val="008E6E22"/>
    <w:rsid w:val="008F010A"/>
    <w:rsid w:val="008F085C"/>
    <w:rsid w:val="008F0CC0"/>
    <w:rsid w:val="008F15DA"/>
    <w:rsid w:val="008F196A"/>
    <w:rsid w:val="008F24DB"/>
    <w:rsid w:val="008F2FE9"/>
    <w:rsid w:val="008F494C"/>
    <w:rsid w:val="008F4B1B"/>
    <w:rsid w:val="008F53CD"/>
    <w:rsid w:val="008F56A0"/>
    <w:rsid w:val="008F5CA8"/>
    <w:rsid w:val="008F5D72"/>
    <w:rsid w:val="008F6BDA"/>
    <w:rsid w:val="008F73EA"/>
    <w:rsid w:val="00900098"/>
    <w:rsid w:val="009005C1"/>
    <w:rsid w:val="00901531"/>
    <w:rsid w:val="00903D1A"/>
    <w:rsid w:val="00904B28"/>
    <w:rsid w:val="00905C94"/>
    <w:rsid w:val="009078D8"/>
    <w:rsid w:val="00911455"/>
    <w:rsid w:val="009133BA"/>
    <w:rsid w:val="00913B90"/>
    <w:rsid w:val="00915B42"/>
    <w:rsid w:val="00916012"/>
    <w:rsid w:val="00917A24"/>
    <w:rsid w:val="00917DEA"/>
    <w:rsid w:val="00925BF8"/>
    <w:rsid w:val="0092686E"/>
    <w:rsid w:val="00930BFF"/>
    <w:rsid w:val="00931A3D"/>
    <w:rsid w:val="0093216F"/>
    <w:rsid w:val="0093284F"/>
    <w:rsid w:val="00932B98"/>
    <w:rsid w:val="00935B95"/>
    <w:rsid w:val="00936085"/>
    <w:rsid w:val="009371B8"/>
    <w:rsid w:val="00940A1E"/>
    <w:rsid w:val="00941B1F"/>
    <w:rsid w:val="00942487"/>
    <w:rsid w:val="00942C8A"/>
    <w:rsid w:val="00942F2F"/>
    <w:rsid w:val="00946F64"/>
    <w:rsid w:val="009473E5"/>
    <w:rsid w:val="00947943"/>
    <w:rsid w:val="00947B5B"/>
    <w:rsid w:val="00947C96"/>
    <w:rsid w:val="0095017E"/>
    <w:rsid w:val="009509BD"/>
    <w:rsid w:val="00950C24"/>
    <w:rsid w:val="0095133A"/>
    <w:rsid w:val="00952A6B"/>
    <w:rsid w:val="00952E84"/>
    <w:rsid w:val="00955EE0"/>
    <w:rsid w:val="0095671E"/>
    <w:rsid w:val="00957CFD"/>
    <w:rsid w:val="00960186"/>
    <w:rsid w:val="00962AD7"/>
    <w:rsid w:val="009634B1"/>
    <w:rsid w:val="00965AD5"/>
    <w:rsid w:val="0096654D"/>
    <w:rsid w:val="00967FDC"/>
    <w:rsid w:val="009732CA"/>
    <w:rsid w:val="00974170"/>
    <w:rsid w:val="00974D7E"/>
    <w:rsid w:val="0097583A"/>
    <w:rsid w:val="0097651D"/>
    <w:rsid w:val="00977B14"/>
    <w:rsid w:val="0098032A"/>
    <w:rsid w:val="0098180F"/>
    <w:rsid w:val="00983A13"/>
    <w:rsid w:val="009863CC"/>
    <w:rsid w:val="00986740"/>
    <w:rsid w:val="00986904"/>
    <w:rsid w:val="00987E4D"/>
    <w:rsid w:val="00991026"/>
    <w:rsid w:val="00991236"/>
    <w:rsid w:val="00993A60"/>
    <w:rsid w:val="00993C4E"/>
    <w:rsid w:val="00993D39"/>
    <w:rsid w:val="00994C9F"/>
    <w:rsid w:val="00997129"/>
    <w:rsid w:val="009A09FC"/>
    <w:rsid w:val="009A1951"/>
    <w:rsid w:val="009A260B"/>
    <w:rsid w:val="009A264C"/>
    <w:rsid w:val="009A2809"/>
    <w:rsid w:val="009A31FF"/>
    <w:rsid w:val="009A336E"/>
    <w:rsid w:val="009A5E00"/>
    <w:rsid w:val="009A612E"/>
    <w:rsid w:val="009A7586"/>
    <w:rsid w:val="009B289B"/>
    <w:rsid w:val="009B2EA5"/>
    <w:rsid w:val="009B39DC"/>
    <w:rsid w:val="009B5F9F"/>
    <w:rsid w:val="009B60EB"/>
    <w:rsid w:val="009B6653"/>
    <w:rsid w:val="009B6696"/>
    <w:rsid w:val="009B66EB"/>
    <w:rsid w:val="009B7415"/>
    <w:rsid w:val="009B7DC7"/>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2F01"/>
    <w:rsid w:val="009F3152"/>
    <w:rsid w:val="009F3C2D"/>
    <w:rsid w:val="009F5473"/>
    <w:rsid w:val="00A00997"/>
    <w:rsid w:val="00A00F89"/>
    <w:rsid w:val="00A0308A"/>
    <w:rsid w:val="00A03271"/>
    <w:rsid w:val="00A06586"/>
    <w:rsid w:val="00A0716F"/>
    <w:rsid w:val="00A07D82"/>
    <w:rsid w:val="00A07EA2"/>
    <w:rsid w:val="00A10443"/>
    <w:rsid w:val="00A10966"/>
    <w:rsid w:val="00A10DBB"/>
    <w:rsid w:val="00A11DF5"/>
    <w:rsid w:val="00A13149"/>
    <w:rsid w:val="00A132C3"/>
    <w:rsid w:val="00A14A51"/>
    <w:rsid w:val="00A17122"/>
    <w:rsid w:val="00A175D0"/>
    <w:rsid w:val="00A178EA"/>
    <w:rsid w:val="00A2264C"/>
    <w:rsid w:val="00A2337F"/>
    <w:rsid w:val="00A23B22"/>
    <w:rsid w:val="00A252E2"/>
    <w:rsid w:val="00A259CA"/>
    <w:rsid w:val="00A25DDC"/>
    <w:rsid w:val="00A2655E"/>
    <w:rsid w:val="00A26900"/>
    <w:rsid w:val="00A270E6"/>
    <w:rsid w:val="00A27BF5"/>
    <w:rsid w:val="00A307BB"/>
    <w:rsid w:val="00A30E55"/>
    <w:rsid w:val="00A30FCD"/>
    <w:rsid w:val="00A321EA"/>
    <w:rsid w:val="00A3375B"/>
    <w:rsid w:val="00A34D34"/>
    <w:rsid w:val="00A35A74"/>
    <w:rsid w:val="00A36ABE"/>
    <w:rsid w:val="00A3767C"/>
    <w:rsid w:val="00A37885"/>
    <w:rsid w:val="00A379FE"/>
    <w:rsid w:val="00A37C2D"/>
    <w:rsid w:val="00A4001C"/>
    <w:rsid w:val="00A41443"/>
    <w:rsid w:val="00A4254F"/>
    <w:rsid w:val="00A454D6"/>
    <w:rsid w:val="00A47A44"/>
    <w:rsid w:val="00A53C29"/>
    <w:rsid w:val="00A540FB"/>
    <w:rsid w:val="00A55C6C"/>
    <w:rsid w:val="00A56B01"/>
    <w:rsid w:val="00A56E85"/>
    <w:rsid w:val="00A579C8"/>
    <w:rsid w:val="00A57AEC"/>
    <w:rsid w:val="00A61188"/>
    <w:rsid w:val="00A63017"/>
    <w:rsid w:val="00A63DD8"/>
    <w:rsid w:val="00A64F06"/>
    <w:rsid w:val="00A65605"/>
    <w:rsid w:val="00A66798"/>
    <w:rsid w:val="00A6751E"/>
    <w:rsid w:val="00A676BF"/>
    <w:rsid w:val="00A67EA0"/>
    <w:rsid w:val="00A70C5C"/>
    <w:rsid w:val="00A71059"/>
    <w:rsid w:val="00A722B8"/>
    <w:rsid w:val="00A72A6F"/>
    <w:rsid w:val="00A732C7"/>
    <w:rsid w:val="00A736FD"/>
    <w:rsid w:val="00A73DDC"/>
    <w:rsid w:val="00A76603"/>
    <w:rsid w:val="00A76814"/>
    <w:rsid w:val="00A8013D"/>
    <w:rsid w:val="00A804AE"/>
    <w:rsid w:val="00A80864"/>
    <w:rsid w:val="00A82D08"/>
    <w:rsid w:val="00A842B1"/>
    <w:rsid w:val="00A84AD3"/>
    <w:rsid w:val="00A859D3"/>
    <w:rsid w:val="00A86F01"/>
    <w:rsid w:val="00A909C3"/>
    <w:rsid w:val="00A91DD8"/>
    <w:rsid w:val="00A94DAC"/>
    <w:rsid w:val="00AA0512"/>
    <w:rsid w:val="00AA0C42"/>
    <w:rsid w:val="00AA0E0E"/>
    <w:rsid w:val="00AA41D1"/>
    <w:rsid w:val="00AA4E0F"/>
    <w:rsid w:val="00AB1128"/>
    <w:rsid w:val="00AB45B8"/>
    <w:rsid w:val="00AB5617"/>
    <w:rsid w:val="00AB5ED0"/>
    <w:rsid w:val="00AB7971"/>
    <w:rsid w:val="00AC015A"/>
    <w:rsid w:val="00AC157E"/>
    <w:rsid w:val="00AC1A34"/>
    <w:rsid w:val="00AC1B28"/>
    <w:rsid w:val="00AC1FB6"/>
    <w:rsid w:val="00AC2868"/>
    <w:rsid w:val="00AC2BBC"/>
    <w:rsid w:val="00AC31AD"/>
    <w:rsid w:val="00AC50F7"/>
    <w:rsid w:val="00AC5C6C"/>
    <w:rsid w:val="00AC5CB9"/>
    <w:rsid w:val="00AC7BE5"/>
    <w:rsid w:val="00AD38DB"/>
    <w:rsid w:val="00AD416F"/>
    <w:rsid w:val="00AD5338"/>
    <w:rsid w:val="00AD79D1"/>
    <w:rsid w:val="00AE0355"/>
    <w:rsid w:val="00AE30A3"/>
    <w:rsid w:val="00AE3903"/>
    <w:rsid w:val="00AE3ACE"/>
    <w:rsid w:val="00AE699A"/>
    <w:rsid w:val="00AE7597"/>
    <w:rsid w:val="00AF09DD"/>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17A6C"/>
    <w:rsid w:val="00B21ED8"/>
    <w:rsid w:val="00B225A4"/>
    <w:rsid w:val="00B24CAD"/>
    <w:rsid w:val="00B256E9"/>
    <w:rsid w:val="00B27014"/>
    <w:rsid w:val="00B27E4B"/>
    <w:rsid w:val="00B31F1A"/>
    <w:rsid w:val="00B3246D"/>
    <w:rsid w:val="00B33B16"/>
    <w:rsid w:val="00B33C91"/>
    <w:rsid w:val="00B33CE2"/>
    <w:rsid w:val="00B34D44"/>
    <w:rsid w:val="00B3525F"/>
    <w:rsid w:val="00B36539"/>
    <w:rsid w:val="00B402D0"/>
    <w:rsid w:val="00B41BBD"/>
    <w:rsid w:val="00B4201B"/>
    <w:rsid w:val="00B42987"/>
    <w:rsid w:val="00B44216"/>
    <w:rsid w:val="00B44711"/>
    <w:rsid w:val="00B44A91"/>
    <w:rsid w:val="00B505F9"/>
    <w:rsid w:val="00B519D3"/>
    <w:rsid w:val="00B54623"/>
    <w:rsid w:val="00B54837"/>
    <w:rsid w:val="00B55A60"/>
    <w:rsid w:val="00B60F8E"/>
    <w:rsid w:val="00B615E6"/>
    <w:rsid w:val="00B63CD3"/>
    <w:rsid w:val="00B64194"/>
    <w:rsid w:val="00B6467C"/>
    <w:rsid w:val="00B7373E"/>
    <w:rsid w:val="00B74084"/>
    <w:rsid w:val="00B75363"/>
    <w:rsid w:val="00B755C1"/>
    <w:rsid w:val="00B77B1C"/>
    <w:rsid w:val="00B80992"/>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0646"/>
    <w:rsid w:val="00BA1544"/>
    <w:rsid w:val="00BA1985"/>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38FB"/>
    <w:rsid w:val="00BE5AD6"/>
    <w:rsid w:val="00BE75BE"/>
    <w:rsid w:val="00BF106A"/>
    <w:rsid w:val="00BF1365"/>
    <w:rsid w:val="00BF2431"/>
    <w:rsid w:val="00BF27D0"/>
    <w:rsid w:val="00BF2ABC"/>
    <w:rsid w:val="00BF349D"/>
    <w:rsid w:val="00BF4701"/>
    <w:rsid w:val="00BF4A64"/>
    <w:rsid w:val="00BF6169"/>
    <w:rsid w:val="00BF7978"/>
    <w:rsid w:val="00BF7CF3"/>
    <w:rsid w:val="00C00DD6"/>
    <w:rsid w:val="00C01138"/>
    <w:rsid w:val="00C0369F"/>
    <w:rsid w:val="00C12261"/>
    <w:rsid w:val="00C161AD"/>
    <w:rsid w:val="00C16542"/>
    <w:rsid w:val="00C17944"/>
    <w:rsid w:val="00C22EEA"/>
    <w:rsid w:val="00C230F3"/>
    <w:rsid w:val="00C24072"/>
    <w:rsid w:val="00C257E1"/>
    <w:rsid w:val="00C25C28"/>
    <w:rsid w:val="00C26981"/>
    <w:rsid w:val="00C3220E"/>
    <w:rsid w:val="00C3335C"/>
    <w:rsid w:val="00C34154"/>
    <w:rsid w:val="00C345AA"/>
    <w:rsid w:val="00C37019"/>
    <w:rsid w:val="00C37377"/>
    <w:rsid w:val="00C4096B"/>
    <w:rsid w:val="00C4114B"/>
    <w:rsid w:val="00C41335"/>
    <w:rsid w:val="00C4162B"/>
    <w:rsid w:val="00C41B8F"/>
    <w:rsid w:val="00C45FD6"/>
    <w:rsid w:val="00C46AD3"/>
    <w:rsid w:val="00C47640"/>
    <w:rsid w:val="00C506BC"/>
    <w:rsid w:val="00C50E2E"/>
    <w:rsid w:val="00C52B55"/>
    <w:rsid w:val="00C55414"/>
    <w:rsid w:val="00C60F73"/>
    <w:rsid w:val="00C617E4"/>
    <w:rsid w:val="00C62E16"/>
    <w:rsid w:val="00C6371D"/>
    <w:rsid w:val="00C639AD"/>
    <w:rsid w:val="00C64026"/>
    <w:rsid w:val="00C64FEC"/>
    <w:rsid w:val="00C66A9D"/>
    <w:rsid w:val="00C737D2"/>
    <w:rsid w:val="00C740FA"/>
    <w:rsid w:val="00C74A99"/>
    <w:rsid w:val="00C75A05"/>
    <w:rsid w:val="00C76664"/>
    <w:rsid w:val="00C76B6E"/>
    <w:rsid w:val="00C8237B"/>
    <w:rsid w:val="00C85E9D"/>
    <w:rsid w:val="00C8794F"/>
    <w:rsid w:val="00C913DE"/>
    <w:rsid w:val="00C92545"/>
    <w:rsid w:val="00C9317E"/>
    <w:rsid w:val="00C9535F"/>
    <w:rsid w:val="00C965C3"/>
    <w:rsid w:val="00CA11A8"/>
    <w:rsid w:val="00CA12A1"/>
    <w:rsid w:val="00CA151A"/>
    <w:rsid w:val="00CA246B"/>
    <w:rsid w:val="00CA34C1"/>
    <w:rsid w:val="00CA5EF2"/>
    <w:rsid w:val="00CA5F13"/>
    <w:rsid w:val="00CB1833"/>
    <w:rsid w:val="00CB2619"/>
    <w:rsid w:val="00CB3A3F"/>
    <w:rsid w:val="00CB443D"/>
    <w:rsid w:val="00CB51B9"/>
    <w:rsid w:val="00CB5D03"/>
    <w:rsid w:val="00CB7BF3"/>
    <w:rsid w:val="00CB7D93"/>
    <w:rsid w:val="00CC057A"/>
    <w:rsid w:val="00CC10E4"/>
    <w:rsid w:val="00CC1A41"/>
    <w:rsid w:val="00CC491D"/>
    <w:rsid w:val="00CC4BED"/>
    <w:rsid w:val="00CC557E"/>
    <w:rsid w:val="00CC619A"/>
    <w:rsid w:val="00CC7E6E"/>
    <w:rsid w:val="00CD063D"/>
    <w:rsid w:val="00CD09C2"/>
    <w:rsid w:val="00CD1559"/>
    <w:rsid w:val="00CD1E77"/>
    <w:rsid w:val="00CD3F15"/>
    <w:rsid w:val="00CD4C81"/>
    <w:rsid w:val="00CD4F53"/>
    <w:rsid w:val="00CD6096"/>
    <w:rsid w:val="00CD63AD"/>
    <w:rsid w:val="00CD691C"/>
    <w:rsid w:val="00CD694F"/>
    <w:rsid w:val="00CD69AC"/>
    <w:rsid w:val="00CD76D4"/>
    <w:rsid w:val="00CD7BB6"/>
    <w:rsid w:val="00CE0165"/>
    <w:rsid w:val="00CE1BBE"/>
    <w:rsid w:val="00CE2040"/>
    <w:rsid w:val="00CE2B75"/>
    <w:rsid w:val="00CE3050"/>
    <w:rsid w:val="00CE45D3"/>
    <w:rsid w:val="00CE492C"/>
    <w:rsid w:val="00CE4CF8"/>
    <w:rsid w:val="00CF005F"/>
    <w:rsid w:val="00CF076A"/>
    <w:rsid w:val="00CF17DE"/>
    <w:rsid w:val="00CF3B2F"/>
    <w:rsid w:val="00CF3F1D"/>
    <w:rsid w:val="00CF3F2E"/>
    <w:rsid w:val="00CF6094"/>
    <w:rsid w:val="00CF6E95"/>
    <w:rsid w:val="00CF71C8"/>
    <w:rsid w:val="00D004E1"/>
    <w:rsid w:val="00D02A97"/>
    <w:rsid w:val="00D02D0C"/>
    <w:rsid w:val="00D0349C"/>
    <w:rsid w:val="00D035B7"/>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4174"/>
    <w:rsid w:val="00D27203"/>
    <w:rsid w:val="00D275A5"/>
    <w:rsid w:val="00D27921"/>
    <w:rsid w:val="00D27B0C"/>
    <w:rsid w:val="00D31B4A"/>
    <w:rsid w:val="00D3248A"/>
    <w:rsid w:val="00D32BA0"/>
    <w:rsid w:val="00D332E3"/>
    <w:rsid w:val="00D34419"/>
    <w:rsid w:val="00D35640"/>
    <w:rsid w:val="00D37EC0"/>
    <w:rsid w:val="00D40E30"/>
    <w:rsid w:val="00D413D0"/>
    <w:rsid w:val="00D44282"/>
    <w:rsid w:val="00D45529"/>
    <w:rsid w:val="00D4581C"/>
    <w:rsid w:val="00D46206"/>
    <w:rsid w:val="00D466E5"/>
    <w:rsid w:val="00D470BE"/>
    <w:rsid w:val="00D47114"/>
    <w:rsid w:val="00D50E16"/>
    <w:rsid w:val="00D51A0F"/>
    <w:rsid w:val="00D51AC6"/>
    <w:rsid w:val="00D52AF9"/>
    <w:rsid w:val="00D54910"/>
    <w:rsid w:val="00D5613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81246"/>
    <w:rsid w:val="00D831C5"/>
    <w:rsid w:val="00D83619"/>
    <w:rsid w:val="00D83FDF"/>
    <w:rsid w:val="00D84BB0"/>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54E6"/>
    <w:rsid w:val="00DA764E"/>
    <w:rsid w:val="00DB0200"/>
    <w:rsid w:val="00DB0EDB"/>
    <w:rsid w:val="00DB11B1"/>
    <w:rsid w:val="00DB1745"/>
    <w:rsid w:val="00DB1988"/>
    <w:rsid w:val="00DB308D"/>
    <w:rsid w:val="00DB3AFD"/>
    <w:rsid w:val="00DB3EC0"/>
    <w:rsid w:val="00DB7C3D"/>
    <w:rsid w:val="00DB7F11"/>
    <w:rsid w:val="00DC06ED"/>
    <w:rsid w:val="00DC0F07"/>
    <w:rsid w:val="00DC0F10"/>
    <w:rsid w:val="00DC10AF"/>
    <w:rsid w:val="00DC179C"/>
    <w:rsid w:val="00DC1AFF"/>
    <w:rsid w:val="00DC201A"/>
    <w:rsid w:val="00DC3ECD"/>
    <w:rsid w:val="00DC53CD"/>
    <w:rsid w:val="00DC5577"/>
    <w:rsid w:val="00DC5A6C"/>
    <w:rsid w:val="00DC5CE2"/>
    <w:rsid w:val="00DC7526"/>
    <w:rsid w:val="00DD04D8"/>
    <w:rsid w:val="00DD0DDD"/>
    <w:rsid w:val="00DD1F0C"/>
    <w:rsid w:val="00DD2B91"/>
    <w:rsid w:val="00DD4FBD"/>
    <w:rsid w:val="00DE09CB"/>
    <w:rsid w:val="00DE13F1"/>
    <w:rsid w:val="00DE362C"/>
    <w:rsid w:val="00DE3CDE"/>
    <w:rsid w:val="00DE41E3"/>
    <w:rsid w:val="00DE452E"/>
    <w:rsid w:val="00DE4A60"/>
    <w:rsid w:val="00DE4B51"/>
    <w:rsid w:val="00DE527B"/>
    <w:rsid w:val="00DE6CC8"/>
    <w:rsid w:val="00DE74C8"/>
    <w:rsid w:val="00DE7C41"/>
    <w:rsid w:val="00DF06A2"/>
    <w:rsid w:val="00DF1BD7"/>
    <w:rsid w:val="00DF2DF4"/>
    <w:rsid w:val="00DF4B01"/>
    <w:rsid w:val="00DF633C"/>
    <w:rsid w:val="00DF6971"/>
    <w:rsid w:val="00E01180"/>
    <w:rsid w:val="00E02DB6"/>
    <w:rsid w:val="00E03258"/>
    <w:rsid w:val="00E0452E"/>
    <w:rsid w:val="00E061BD"/>
    <w:rsid w:val="00E062CA"/>
    <w:rsid w:val="00E1188B"/>
    <w:rsid w:val="00E122E8"/>
    <w:rsid w:val="00E12E8D"/>
    <w:rsid w:val="00E13080"/>
    <w:rsid w:val="00E14242"/>
    <w:rsid w:val="00E145D9"/>
    <w:rsid w:val="00E1628D"/>
    <w:rsid w:val="00E17F8F"/>
    <w:rsid w:val="00E23416"/>
    <w:rsid w:val="00E248C6"/>
    <w:rsid w:val="00E24D89"/>
    <w:rsid w:val="00E2590C"/>
    <w:rsid w:val="00E260F8"/>
    <w:rsid w:val="00E27EEA"/>
    <w:rsid w:val="00E301A9"/>
    <w:rsid w:val="00E306DA"/>
    <w:rsid w:val="00E321EB"/>
    <w:rsid w:val="00E36070"/>
    <w:rsid w:val="00E37E66"/>
    <w:rsid w:val="00E410ED"/>
    <w:rsid w:val="00E41F49"/>
    <w:rsid w:val="00E44DBC"/>
    <w:rsid w:val="00E4527B"/>
    <w:rsid w:val="00E457BC"/>
    <w:rsid w:val="00E462EF"/>
    <w:rsid w:val="00E500A9"/>
    <w:rsid w:val="00E509EF"/>
    <w:rsid w:val="00E5283B"/>
    <w:rsid w:val="00E539FA"/>
    <w:rsid w:val="00E53A1B"/>
    <w:rsid w:val="00E54A43"/>
    <w:rsid w:val="00E55B4C"/>
    <w:rsid w:val="00E55D4F"/>
    <w:rsid w:val="00E57A40"/>
    <w:rsid w:val="00E618A3"/>
    <w:rsid w:val="00E63BB1"/>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61F6"/>
    <w:rsid w:val="00EB286A"/>
    <w:rsid w:val="00EB32AC"/>
    <w:rsid w:val="00EB58BA"/>
    <w:rsid w:val="00EB5D50"/>
    <w:rsid w:val="00EB688F"/>
    <w:rsid w:val="00EC16B3"/>
    <w:rsid w:val="00EC2BF4"/>
    <w:rsid w:val="00EC36D4"/>
    <w:rsid w:val="00EC401B"/>
    <w:rsid w:val="00EC411B"/>
    <w:rsid w:val="00EC5E13"/>
    <w:rsid w:val="00EC74F0"/>
    <w:rsid w:val="00EC7ADD"/>
    <w:rsid w:val="00ED0769"/>
    <w:rsid w:val="00ED0D0F"/>
    <w:rsid w:val="00ED2316"/>
    <w:rsid w:val="00ED245B"/>
    <w:rsid w:val="00ED35E2"/>
    <w:rsid w:val="00EE0C8D"/>
    <w:rsid w:val="00EE1C21"/>
    <w:rsid w:val="00EE1CE6"/>
    <w:rsid w:val="00EE2880"/>
    <w:rsid w:val="00EE37A4"/>
    <w:rsid w:val="00EE5007"/>
    <w:rsid w:val="00EE52DE"/>
    <w:rsid w:val="00EE5612"/>
    <w:rsid w:val="00EE647C"/>
    <w:rsid w:val="00EE688A"/>
    <w:rsid w:val="00EF2BA2"/>
    <w:rsid w:val="00EF5CD4"/>
    <w:rsid w:val="00EF71C7"/>
    <w:rsid w:val="00EF7A34"/>
    <w:rsid w:val="00EF7CD0"/>
    <w:rsid w:val="00F00DD4"/>
    <w:rsid w:val="00F0278E"/>
    <w:rsid w:val="00F0409E"/>
    <w:rsid w:val="00F04CEF"/>
    <w:rsid w:val="00F04D72"/>
    <w:rsid w:val="00F04FCB"/>
    <w:rsid w:val="00F06B6F"/>
    <w:rsid w:val="00F07002"/>
    <w:rsid w:val="00F116DF"/>
    <w:rsid w:val="00F1197B"/>
    <w:rsid w:val="00F12A14"/>
    <w:rsid w:val="00F1340B"/>
    <w:rsid w:val="00F13767"/>
    <w:rsid w:val="00F15D71"/>
    <w:rsid w:val="00F16606"/>
    <w:rsid w:val="00F16910"/>
    <w:rsid w:val="00F16FCA"/>
    <w:rsid w:val="00F2056B"/>
    <w:rsid w:val="00F2385C"/>
    <w:rsid w:val="00F251C8"/>
    <w:rsid w:val="00F25EAF"/>
    <w:rsid w:val="00F30427"/>
    <w:rsid w:val="00F30F93"/>
    <w:rsid w:val="00F31ADE"/>
    <w:rsid w:val="00F32D60"/>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6271F"/>
    <w:rsid w:val="00F6329B"/>
    <w:rsid w:val="00F63597"/>
    <w:rsid w:val="00F64ACC"/>
    <w:rsid w:val="00F66DB5"/>
    <w:rsid w:val="00F7090C"/>
    <w:rsid w:val="00F7182E"/>
    <w:rsid w:val="00F71BEF"/>
    <w:rsid w:val="00F726E4"/>
    <w:rsid w:val="00F73F01"/>
    <w:rsid w:val="00F74104"/>
    <w:rsid w:val="00F741E3"/>
    <w:rsid w:val="00F74F48"/>
    <w:rsid w:val="00F75C65"/>
    <w:rsid w:val="00F762DE"/>
    <w:rsid w:val="00F7643F"/>
    <w:rsid w:val="00F768D3"/>
    <w:rsid w:val="00F77190"/>
    <w:rsid w:val="00F7784C"/>
    <w:rsid w:val="00F8108E"/>
    <w:rsid w:val="00F811E8"/>
    <w:rsid w:val="00F820CB"/>
    <w:rsid w:val="00F82772"/>
    <w:rsid w:val="00F8312C"/>
    <w:rsid w:val="00F85BAD"/>
    <w:rsid w:val="00F86204"/>
    <w:rsid w:val="00F866A6"/>
    <w:rsid w:val="00F87385"/>
    <w:rsid w:val="00F87925"/>
    <w:rsid w:val="00F879EB"/>
    <w:rsid w:val="00F87BA7"/>
    <w:rsid w:val="00F87BB0"/>
    <w:rsid w:val="00F87C19"/>
    <w:rsid w:val="00F90687"/>
    <w:rsid w:val="00F93121"/>
    <w:rsid w:val="00F93EBC"/>
    <w:rsid w:val="00F94C64"/>
    <w:rsid w:val="00F95507"/>
    <w:rsid w:val="00F95A04"/>
    <w:rsid w:val="00F9640A"/>
    <w:rsid w:val="00FA0AAE"/>
    <w:rsid w:val="00FA0C0C"/>
    <w:rsid w:val="00FA166A"/>
    <w:rsid w:val="00FA2361"/>
    <w:rsid w:val="00FA2C0C"/>
    <w:rsid w:val="00FA4701"/>
    <w:rsid w:val="00FA5034"/>
    <w:rsid w:val="00FB0D0E"/>
    <w:rsid w:val="00FB6833"/>
    <w:rsid w:val="00FB7B63"/>
    <w:rsid w:val="00FC14D7"/>
    <w:rsid w:val="00FC37CE"/>
    <w:rsid w:val="00FC5CDD"/>
    <w:rsid w:val="00FC73CB"/>
    <w:rsid w:val="00FC78CB"/>
    <w:rsid w:val="00FC7CED"/>
    <w:rsid w:val="00FD1546"/>
    <w:rsid w:val="00FD286B"/>
    <w:rsid w:val="00FD34F0"/>
    <w:rsid w:val="00FE008C"/>
    <w:rsid w:val="00FE0E21"/>
    <w:rsid w:val="00FE2644"/>
    <w:rsid w:val="00FE2C1B"/>
    <w:rsid w:val="00FE3B37"/>
    <w:rsid w:val="00FE4514"/>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o:shapedefaults>
    <o:shapelayout v:ext="edit">
      <o:idmap v:ext="edit" data="1"/>
    </o:shapelayout>
  </w:shapeDefaults>
  <w:decimalSymbol w:val=","/>
  <w:listSeparator w:val=","/>
  <w15:docId w15:val="{66D4E178-0071-A349-B918-4221602D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7B14"/>
    <w:pPr>
      <w:spacing w:after="120" w:line="260" w:lineRule="atLeast"/>
      <w:jc w:val="both"/>
    </w:pPr>
    <w:rPr>
      <w:rFonts w:ascii="Verdana" w:hAnsi="Verdana"/>
      <w:color w:val="333333"/>
      <w:sz w:val="22"/>
      <w:szCs w:val="24"/>
      <w:lang w:eastAsia="en-GB"/>
    </w:rPr>
  </w:style>
  <w:style w:type="paragraph" w:styleId="Heading1">
    <w:name w:val="heading 1"/>
    <w:basedOn w:val="Normal"/>
    <w:next w:val="Normal"/>
    <w:link w:val="Heading1Char"/>
    <w:qFormat/>
    <w:rsid w:val="00977B14"/>
    <w:pPr>
      <w:keepNext/>
      <w:spacing w:after="360"/>
      <w:outlineLvl w:val="0"/>
    </w:pPr>
    <w:rPr>
      <w:rFonts w:cs="Arial"/>
      <w:b/>
      <w:bCs/>
      <w:color w:val="093D4D"/>
      <w:kern w:val="32"/>
      <w:sz w:val="40"/>
      <w:szCs w:val="32"/>
    </w:rPr>
  </w:style>
  <w:style w:type="paragraph" w:styleId="Heading2">
    <w:name w:val="heading 2"/>
    <w:basedOn w:val="Normal"/>
    <w:next w:val="BodyText"/>
    <w:link w:val="Heading2Char"/>
    <w:qFormat/>
    <w:rsid w:val="007642B3"/>
    <w:pPr>
      <w:keepNext/>
      <w:spacing w:before="360" w:after="240"/>
      <w:outlineLvl w:val="1"/>
    </w:pPr>
    <w:rPr>
      <w:rFonts w:cs="Arial"/>
      <w:b/>
      <w:bCs/>
      <w:iCs/>
      <w:color w:val="093D4D"/>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7642B3"/>
    <w:rPr>
      <w:rFonts w:ascii="Verdana" w:hAnsi="Verdana" w:cs="Arial"/>
      <w:b/>
      <w:bCs/>
      <w:iCs/>
      <w:color w:val="093D4D"/>
      <w:sz w:val="22"/>
      <w:szCs w:val="28"/>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aliases w:val="Schriftart: 9 pt,Schriftart: 10 pt,Schriftart: 8 pt,WB-Fußnotentext,fn,Footnotes,Footnote ak,Footnote text,Footnote Text Char1 Char,Footnote Text Char Char Char,Footnote Text Char2 Char Char Char,Plo,o,Footnote Text Char2, Car1"/>
    <w:basedOn w:val="Normal"/>
    <w:link w:val="FootnoteTextChar"/>
    <w:qFormat/>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B60F8E"/>
    <w:pPr>
      <w:tabs>
        <w:tab w:val="right" w:leader="dot" w:pos="8777"/>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 w:val="22"/>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 w:val="22"/>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977B14"/>
    <w:rPr>
      <w:rFonts w:ascii="Verdana" w:hAnsi="Verdana" w:cs="Arial"/>
      <w:b/>
      <w:bCs/>
      <w:color w:val="093D4D"/>
      <w:kern w:val="32"/>
      <w:sz w:val="40"/>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line="240" w:lineRule="atLeast"/>
      <w:ind w:left="2160" w:hanging="360"/>
      <w:jc w:val="left"/>
    </w:pPr>
    <w:rPr>
      <w:rFonts w:ascii="Calibri" w:eastAsia="Calibri" w:hAnsi="Calibri"/>
      <w:b/>
      <w:color w:val="0067AC"/>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line="240" w:lineRule="atLeast"/>
      <w:ind w:left="2880" w:hanging="360"/>
      <w:jc w:val="left"/>
    </w:pPr>
    <w:rPr>
      <w:rFonts w:ascii="Calibri" w:eastAsia="Calibri" w:hAnsi="Calibri"/>
      <w:b/>
      <w:i/>
      <w:color w:val="0067AC"/>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306046"/>
    <w:pPr>
      <w:spacing w:after="240"/>
      <w:jc w:val="center"/>
    </w:pPr>
    <w:rPr>
      <w:b/>
      <w:color w:val="093D4D"/>
      <w:sz w:val="52"/>
      <w:szCs w:val="52"/>
      <w:lang w:eastAsia="en-US"/>
    </w:rPr>
  </w:style>
  <w:style w:type="paragraph" w:customStyle="1" w:styleId="Subtitlepublication">
    <w:name w:val="Subtitle publication"/>
    <w:basedOn w:val="Normal"/>
    <w:link w:val="SubtitlepublicationChar"/>
    <w:qFormat/>
    <w:rsid w:val="00306046"/>
    <w:pPr>
      <w:spacing w:after="240"/>
      <w:jc w:val="center"/>
    </w:pPr>
    <w:rPr>
      <w:b/>
      <w:i/>
      <w:color w:val="093D4D"/>
      <w:sz w:val="32"/>
      <w:szCs w:val="20"/>
      <w:lang w:eastAsia="en-US"/>
    </w:rPr>
  </w:style>
  <w:style w:type="character" w:customStyle="1" w:styleId="TitlepublicationChar">
    <w:name w:val="Title publication Char"/>
    <w:link w:val="Titlepublication"/>
    <w:rsid w:val="00306046"/>
    <w:rPr>
      <w:rFonts w:ascii="Verdana" w:hAnsi="Verdana"/>
      <w:b/>
      <w:color w:val="093D4D"/>
      <w:sz w:val="52"/>
      <w:szCs w:val="52"/>
      <w:lang w:eastAsia="en-US"/>
    </w:rPr>
  </w:style>
  <w:style w:type="paragraph" w:customStyle="1" w:styleId="Editorname">
    <w:name w:val="Editor name"/>
    <w:basedOn w:val="Normal"/>
    <w:link w:val="EditornameChar"/>
    <w:qFormat/>
    <w:rsid w:val="00306046"/>
    <w:pPr>
      <w:spacing w:after="240"/>
      <w:jc w:val="center"/>
    </w:pPr>
    <w:rPr>
      <w:noProof/>
      <w:color w:val="093D4D"/>
      <w:sz w:val="24"/>
      <w:szCs w:val="20"/>
      <w:lang w:val="en-US" w:eastAsia="en-US"/>
    </w:rPr>
  </w:style>
  <w:style w:type="character" w:customStyle="1" w:styleId="SubtitlepublicationChar">
    <w:name w:val="Subtitle publication Char"/>
    <w:link w:val="Subtitlepublication"/>
    <w:rsid w:val="00306046"/>
    <w:rPr>
      <w:rFonts w:ascii="Verdana" w:hAnsi="Verdana"/>
      <w:b/>
      <w:i/>
      <w:color w:val="093D4D"/>
      <w:sz w:val="32"/>
      <w:lang w:eastAsia="en-US"/>
    </w:rPr>
  </w:style>
  <w:style w:type="character" w:customStyle="1" w:styleId="EditornameChar">
    <w:name w:val="Editor name Char"/>
    <w:link w:val="Editorname"/>
    <w:rsid w:val="00306046"/>
    <w:rPr>
      <w:rFonts w:ascii="Verdana" w:hAnsi="Verdana"/>
      <w:noProof/>
      <w:color w:val="093D4D"/>
      <w:sz w:val="24"/>
      <w:lang w:val="en-US" w:eastAsia="en-US"/>
    </w:rPr>
  </w:style>
  <w:style w:type="paragraph" w:customStyle="1" w:styleId="DocumentSubtitle">
    <w:name w:val="Document Subtitle"/>
    <w:basedOn w:val="Normal"/>
    <w:link w:val="DocumentSubtitleChar"/>
    <w:qFormat/>
    <w:rsid w:val="00B17A6C"/>
    <w:pPr>
      <w:spacing w:after="240"/>
      <w:jc w:val="center"/>
    </w:pPr>
    <w:rPr>
      <w:color w:val="auto"/>
      <w:sz w:val="32"/>
      <w:szCs w:val="36"/>
      <w:lang w:eastAsia="en-US"/>
    </w:rPr>
  </w:style>
  <w:style w:type="character" w:customStyle="1" w:styleId="DocumentSubtitleChar">
    <w:name w:val="Document Subtitle Char"/>
    <w:link w:val="DocumentSubtitle"/>
    <w:rsid w:val="00B17A6C"/>
    <w:rPr>
      <w:rFonts w:ascii="Verdana" w:hAnsi="Verdana"/>
      <w:sz w:val="32"/>
      <w:szCs w:val="36"/>
      <w:lang w:eastAsia="en-US"/>
    </w:rPr>
  </w:style>
  <w:style w:type="paragraph" w:customStyle="1" w:styleId="Heading">
    <w:name w:val="Heading"/>
    <w:basedOn w:val="TOC1"/>
    <w:link w:val="HeadingChar"/>
    <w:qFormat/>
    <w:rsid w:val="00166875"/>
    <w:pPr>
      <w:widowControl w:val="0"/>
      <w:tabs>
        <w:tab w:val="clear" w:pos="8777"/>
        <w:tab w:val="right" w:leader="dot" w:pos="8640"/>
      </w:tabs>
      <w:autoSpaceDE w:val="0"/>
      <w:autoSpaceDN w:val="0"/>
      <w:adjustRightInd w:val="0"/>
      <w:spacing w:before="120"/>
      <w:ind w:right="720"/>
      <w:jc w:val="left"/>
    </w:pPr>
    <w:rPr>
      <w:b/>
      <w:caps/>
      <w:color w:val="1290B7"/>
      <w:szCs w:val="22"/>
      <w:lang w:val="fr-FR" w:eastAsia="en-US"/>
    </w:rPr>
  </w:style>
  <w:style w:type="character" w:customStyle="1" w:styleId="HeadingChar">
    <w:name w:val="Heading Char"/>
    <w:link w:val="Heading"/>
    <w:rsid w:val="00166875"/>
    <w:rPr>
      <w:rFonts w:ascii="Verdana" w:hAnsi="Verdana"/>
      <w:b/>
      <w:caps/>
      <w:color w:val="1290B7"/>
      <w:sz w:val="22"/>
      <w:szCs w:val="22"/>
      <w:lang w:val="fr-FR" w:eastAsia="en-US"/>
    </w:rPr>
  </w:style>
  <w:style w:type="paragraph" w:customStyle="1" w:styleId="Heading20">
    <w:name w:val="Heading2"/>
    <w:basedOn w:val="Normal"/>
    <w:link w:val="Heading2Char0"/>
    <w:qFormat/>
    <w:rsid w:val="00166875"/>
    <w:pPr>
      <w:spacing w:after="240"/>
    </w:pPr>
    <w:rPr>
      <w:b/>
      <w:i/>
      <w:color w:val="1290B7"/>
      <w:szCs w:val="20"/>
      <w:lang w:eastAsia="en-US"/>
    </w:rPr>
  </w:style>
  <w:style w:type="table" w:styleId="TableGrid">
    <w:name w:val="Table Grid"/>
    <w:aliases w:val="Document Table"/>
    <w:basedOn w:val="TableNormal"/>
    <w:uiPriority w:val="59"/>
    <w:rsid w:val="00166875"/>
    <w:rPr>
      <w:rFonts w:ascii="Verdana" w:hAnsi="Verdana"/>
      <w:sz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sid w:val="00166875"/>
    <w:rPr>
      <w:rFonts w:ascii="Verdana" w:hAnsi="Verdana"/>
      <w:b/>
      <w:i/>
      <w:color w:val="1290B7"/>
      <w:lang w:eastAsia="en-US"/>
    </w:rPr>
  </w:style>
  <w:style w:type="paragraph" w:customStyle="1" w:styleId="SectionTitle">
    <w:name w:val="SectionTitle"/>
    <w:basedOn w:val="Normal"/>
    <w:next w:val="Heading1"/>
    <w:rsid w:val="00166875"/>
    <w:pPr>
      <w:keepNext/>
      <w:spacing w:after="480"/>
      <w:jc w:val="center"/>
    </w:pPr>
    <w:rPr>
      <w:rFonts w:ascii="Times New Roman" w:hAnsi="Times New Roman"/>
      <w:b/>
      <w:smallCaps/>
      <w:color w:val="auto"/>
      <w:sz w:val="28"/>
      <w:szCs w:val="20"/>
      <w:lang w:val="fr-FR" w:eastAsia="en-US"/>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Plo Char,o Char"/>
    <w:basedOn w:val="DefaultParagraphFont"/>
    <w:link w:val="FootnoteText"/>
    <w:uiPriority w:val="99"/>
    <w:rsid w:val="00166875"/>
    <w:rPr>
      <w:rFonts w:ascii="Verdana" w:hAnsi="Verdana"/>
      <w:color w:val="333333"/>
      <w:lang w:eastAsia="en-GB"/>
    </w:rPr>
  </w:style>
  <w:style w:type="character" w:styleId="FootnoteReference">
    <w:name w:val="footnote reference"/>
    <w:aliases w:val="Footnote symbol,Footnote reference number,Footnote,Times 10 Point,Exposant 3 Point,Ref,de nota al pie,note TESI,SUPERS,EN Footnote text,EN Footnote Reference,Footnote Reference_LVL6,Footnote Reference_LVL61,Footnote Reference_LVL,10"/>
    <w:link w:val="BVIfnr"/>
    <w:qFormat/>
    <w:rsid w:val="00166875"/>
    <w:rPr>
      <w:vertAlign w:val="superscript"/>
    </w:rPr>
  </w:style>
  <w:style w:type="character" w:customStyle="1" w:styleId="BoldkeepwnextChar">
    <w:name w:val="Bold keep w/ next Char"/>
    <w:basedOn w:val="BodyChar"/>
    <w:link w:val="Boldkeepwnext"/>
    <w:locked/>
    <w:rsid w:val="00E55D4F"/>
    <w:rPr>
      <w:rFonts w:ascii="Verdana" w:hAnsi="Verdana"/>
      <w:b/>
      <w:color w:val="31849B" w:themeColor="accent5" w:themeShade="BF"/>
      <w:sz w:val="18"/>
      <w:lang w:val="fr-FR" w:eastAsia="en-US"/>
    </w:rPr>
  </w:style>
  <w:style w:type="paragraph" w:customStyle="1" w:styleId="Boldkeepwnext">
    <w:name w:val="Bold keep w/ next"/>
    <w:basedOn w:val="Body"/>
    <w:link w:val="BoldkeepwnextChar"/>
    <w:qFormat/>
    <w:rsid w:val="00E55D4F"/>
    <w:pPr>
      <w:keepNext/>
      <w:spacing w:line="280" w:lineRule="atLeast"/>
      <w:jc w:val="both"/>
    </w:pPr>
    <w:rPr>
      <w:b/>
      <w:color w:val="31849B" w:themeColor="accent5" w:themeShade="BF"/>
      <w:sz w:val="20"/>
    </w:rPr>
  </w:style>
  <w:style w:type="table" w:customStyle="1" w:styleId="DocumentTable1">
    <w:name w:val="Document Table1"/>
    <w:basedOn w:val="TableNormal"/>
    <w:next w:val="TableGrid"/>
    <w:rsid w:val="00E55D4F"/>
    <w:rPr>
      <w:rFonts w:ascii="Verdana" w:hAnsi="Verdana"/>
      <w:sz w:val="18"/>
      <w:lang w:val="nl-BE" w:eastAsia="nl-BE"/>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styleId="CommentReference">
    <w:name w:val="annotation reference"/>
    <w:basedOn w:val="DefaultParagraphFont"/>
    <w:semiHidden/>
    <w:unhideWhenUsed/>
    <w:rsid w:val="00E509EF"/>
    <w:rPr>
      <w:sz w:val="16"/>
      <w:szCs w:val="16"/>
    </w:rPr>
  </w:style>
  <w:style w:type="paragraph" w:styleId="CommentText">
    <w:name w:val="annotation text"/>
    <w:basedOn w:val="Normal"/>
    <w:link w:val="CommentTextChar"/>
    <w:semiHidden/>
    <w:unhideWhenUsed/>
    <w:rsid w:val="00E509EF"/>
    <w:rPr>
      <w:szCs w:val="20"/>
    </w:rPr>
  </w:style>
  <w:style w:type="character" w:customStyle="1" w:styleId="CommentTextChar">
    <w:name w:val="Comment Text Char"/>
    <w:basedOn w:val="DefaultParagraphFont"/>
    <w:link w:val="CommentText"/>
    <w:semiHidden/>
    <w:rsid w:val="00E509EF"/>
    <w:rPr>
      <w:rFonts w:ascii="Verdana" w:hAnsi="Verdana"/>
      <w:color w:val="333333"/>
      <w:lang w:eastAsia="en-GB"/>
    </w:rPr>
  </w:style>
  <w:style w:type="paragraph" w:styleId="CommentSubject">
    <w:name w:val="annotation subject"/>
    <w:basedOn w:val="CommentText"/>
    <w:next w:val="CommentText"/>
    <w:link w:val="CommentSubjectChar"/>
    <w:semiHidden/>
    <w:unhideWhenUsed/>
    <w:rsid w:val="00E509EF"/>
    <w:rPr>
      <w:b/>
      <w:bCs/>
    </w:rPr>
  </w:style>
  <w:style w:type="character" w:customStyle="1" w:styleId="CommentSubjectChar">
    <w:name w:val="Comment Subject Char"/>
    <w:basedOn w:val="CommentTextChar"/>
    <w:link w:val="CommentSubject"/>
    <w:semiHidden/>
    <w:rsid w:val="00E509EF"/>
    <w:rPr>
      <w:rFonts w:ascii="Verdana" w:hAnsi="Verdana"/>
      <w:b/>
      <w:bCs/>
      <w:color w:val="333333"/>
      <w:lang w:eastAsia="en-GB"/>
    </w:rPr>
  </w:style>
  <w:style w:type="paragraph" w:customStyle="1" w:styleId="Default">
    <w:name w:val="Default"/>
    <w:rsid w:val="0077627C"/>
    <w:pPr>
      <w:autoSpaceDE w:val="0"/>
      <w:autoSpaceDN w:val="0"/>
      <w:adjustRightInd w:val="0"/>
    </w:pPr>
    <w:rPr>
      <w:rFonts w:eastAsia="SimSun"/>
      <w:color w:val="000000"/>
      <w:sz w:val="24"/>
      <w:szCs w:val="24"/>
      <w:lang w:val="nb-NO"/>
    </w:rPr>
  </w:style>
  <w:style w:type="paragraph" w:customStyle="1" w:styleId="ox-b3f2d9ec33-msonormal">
    <w:name w:val="ox-b3f2d9ec33-msonormal"/>
    <w:basedOn w:val="Normal"/>
    <w:rsid w:val="0077627C"/>
    <w:pPr>
      <w:spacing w:before="100" w:beforeAutospacing="1" w:after="100" w:afterAutospacing="1" w:line="240" w:lineRule="auto"/>
      <w:jc w:val="left"/>
    </w:pPr>
    <w:rPr>
      <w:rFonts w:ascii="Times" w:eastAsiaTheme="minorEastAsia" w:hAnsi="Times" w:cstheme="minorBidi"/>
      <w:color w:val="auto"/>
      <w:sz w:val="20"/>
      <w:szCs w:val="20"/>
      <w:lang w:val="en-US" w:eastAsia="en-US"/>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
    <w:basedOn w:val="Normal"/>
    <w:link w:val="FootnoteReference"/>
    <w:rsid w:val="0077627C"/>
    <w:pPr>
      <w:spacing w:after="160" w:line="240" w:lineRule="exact"/>
      <w:jc w:val="left"/>
    </w:pPr>
    <w:rPr>
      <w:rFonts w:ascii="Times New Roman" w:hAnsi="Times New Roman"/>
      <w:color w:val="auto"/>
      <w:sz w:val="20"/>
      <w:szCs w:val="20"/>
      <w:vertAlign w:val="superscript"/>
      <w:lang w:eastAsia="zh-CN"/>
    </w:rPr>
  </w:style>
  <w:style w:type="character" w:styleId="Emphasis">
    <w:name w:val="Emphasis"/>
    <w:basedOn w:val="DefaultParagraphFont"/>
    <w:uiPriority w:val="20"/>
    <w:qFormat/>
    <w:rsid w:val="007762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56406">
      <w:bodyDiv w:val="1"/>
      <w:marLeft w:val="0"/>
      <w:marRight w:val="0"/>
      <w:marTop w:val="0"/>
      <w:marBottom w:val="0"/>
      <w:divBdr>
        <w:top w:val="none" w:sz="0" w:space="0" w:color="auto"/>
        <w:left w:val="none" w:sz="0" w:space="0" w:color="auto"/>
        <w:bottom w:val="none" w:sz="0" w:space="0" w:color="auto"/>
        <w:right w:val="none" w:sz="0" w:space="0" w:color="auto"/>
      </w:divBdr>
    </w:div>
    <w:div w:id="947737286">
      <w:bodyDiv w:val="1"/>
      <w:marLeft w:val="0"/>
      <w:marRight w:val="0"/>
      <w:marTop w:val="0"/>
      <w:marBottom w:val="0"/>
      <w:divBdr>
        <w:top w:val="none" w:sz="0" w:space="0" w:color="auto"/>
        <w:left w:val="none" w:sz="0" w:space="0" w:color="auto"/>
        <w:bottom w:val="none" w:sz="0" w:space="0" w:color="auto"/>
        <w:right w:val="none" w:sz="0" w:space="0" w:color="auto"/>
      </w:divBdr>
    </w:div>
    <w:div w:id="1189954453">
      <w:bodyDiv w:val="1"/>
      <w:marLeft w:val="0"/>
      <w:marRight w:val="0"/>
      <w:marTop w:val="0"/>
      <w:marBottom w:val="0"/>
      <w:divBdr>
        <w:top w:val="none" w:sz="0" w:space="0" w:color="auto"/>
        <w:left w:val="none" w:sz="0" w:space="0" w:color="auto"/>
        <w:bottom w:val="none" w:sz="0" w:space="0" w:color="auto"/>
        <w:right w:val="none" w:sz="0" w:space="0" w:color="auto"/>
      </w:divBdr>
    </w:div>
    <w:div w:id="1214390424">
      <w:bodyDiv w:val="1"/>
      <w:marLeft w:val="0"/>
      <w:marRight w:val="0"/>
      <w:marTop w:val="0"/>
      <w:marBottom w:val="0"/>
      <w:divBdr>
        <w:top w:val="none" w:sz="0" w:space="0" w:color="auto"/>
        <w:left w:val="none" w:sz="0" w:space="0" w:color="auto"/>
        <w:bottom w:val="none" w:sz="0" w:space="0" w:color="auto"/>
        <w:right w:val="none" w:sz="0" w:space="0" w:color="auto"/>
      </w:divBdr>
    </w:div>
    <w:div w:id="1871526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emionaut.net/diversity-act-ii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P:\ET%202020%20Coordination\ET2020%20Working%20Groups\Templates%202016-2018\DG%20EAC%20Working%20Group%20Citizenshi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34BEBC28A9840B9D23A71B838C372" ma:contentTypeVersion="0" ma:contentTypeDescription="Create a new document." ma:contentTypeScope="" ma:versionID="84f83ac8781b75304bde7907497000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2CF6D827-F603-4C6B-ACB6-9726CAA5D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A382D8D-CC9D-8547-AB37-E7723867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P:\ET 2020 Coordination\ET2020 Working Groups\Templates 2016-2018\DG EAC Working Group Citizenship Template.dotx</Template>
  <TotalTime>0</TotalTime>
  <Pages>17</Pages>
  <Words>5822</Words>
  <Characters>33192</Characters>
  <Application>Microsoft Office Word</Application>
  <DocSecurity>0</DocSecurity>
  <Lines>276</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38937</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ROBERT Benedicte (EAC)</dc:creator>
  <cp:lastModifiedBy>Klára Somogyi</cp:lastModifiedBy>
  <cp:revision>2</cp:revision>
  <cp:lastPrinted>2018-08-30T12:18:00Z</cp:lastPrinted>
  <dcterms:created xsi:type="dcterms:W3CDTF">2018-09-25T14:46:00Z</dcterms:created>
  <dcterms:modified xsi:type="dcterms:W3CDTF">2018-09-25T14:46:00Z</dcterms:modified>
</cp:coreProperties>
</file>