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7DABB741" w:rsidR="00534D20" w:rsidRPr="008261B1" w:rsidRDefault="00AE1692" w:rsidP="00591FE3">
      <w:pPr>
        <w:pStyle w:val="Agency-title"/>
        <w:keepNext w:val="0"/>
        <w:spacing w:before="4000"/>
        <w:rPr>
          <w:rFonts w:cstheme="majorHAnsi"/>
          <w:sz w:val="60"/>
          <w:szCs w:val="60"/>
        </w:rPr>
      </w:pPr>
      <w:r w:rsidRPr="008261B1">
        <w:rPr>
          <w:rFonts w:cstheme="majorHAnsi"/>
          <w:sz w:val="60"/>
          <w:lang w:bidi="it-IT"/>
        </w:rPr>
        <w:t>L’evoluzione del ruolo delle prestazioni a supporto dell’educazione inclusiva</w:t>
      </w:r>
    </w:p>
    <w:p w14:paraId="35EF330C" w14:textId="6DEC2449" w:rsidR="002E5B99" w:rsidRPr="008261B1" w:rsidRDefault="00AE1692" w:rsidP="00591FE3">
      <w:pPr>
        <w:spacing w:before="900" w:after="120"/>
        <w:jc w:val="center"/>
        <w:rPr>
          <w:rFonts w:asciiTheme="majorHAnsi" w:hAnsiTheme="majorHAnsi" w:cstheme="majorHAnsi"/>
        </w:rPr>
      </w:pPr>
      <w:r w:rsidRPr="008261B1">
        <w:rPr>
          <w:rFonts w:asciiTheme="majorHAnsi" w:hAnsiTheme="majorHAnsi" w:cstheme="majorHAnsi"/>
          <w:b/>
          <w:sz w:val="44"/>
          <w:lang w:bidi="it-IT"/>
        </w:rPr>
        <w:t>Strumento di autovalutazione delle politiche</w:t>
      </w:r>
    </w:p>
    <w:p w14:paraId="1BBD00FA" w14:textId="2C3338D2" w:rsidR="00A4520C" w:rsidRPr="008261B1" w:rsidRDefault="00BF13BA" w:rsidP="002012F7">
      <w:pPr>
        <w:pStyle w:val="Agency-body-text"/>
        <w:spacing w:before="5600" w:after="0"/>
        <w:jc w:val="center"/>
        <w:rPr>
          <w:rFonts w:asciiTheme="majorHAnsi" w:hAnsiTheme="majorHAnsi" w:cstheme="majorHAnsi"/>
          <w:b/>
          <w:bCs/>
          <w:sz w:val="28"/>
          <w:szCs w:val="28"/>
        </w:rPr>
      </w:pPr>
      <w:r w:rsidRPr="008261B1">
        <w:rPr>
          <w:rFonts w:asciiTheme="majorHAnsi" w:hAnsiTheme="majorHAnsi" w:cstheme="majorHAnsi"/>
          <w:b/>
          <w:sz w:val="28"/>
          <w:lang w:bidi="it-IT"/>
        </w:rPr>
        <w:t>Agenzia Europea per i Bisogni Educativi Speciali e l’Educazione Inclusiva</w:t>
      </w:r>
      <w:r w:rsidR="009E6E4D" w:rsidRPr="008261B1">
        <w:rPr>
          <w:rFonts w:asciiTheme="majorHAnsi" w:hAnsiTheme="majorHAnsi" w:cstheme="majorHAnsi"/>
          <w:lang w:bidi="it-IT"/>
        </w:rPr>
        <w:br w:type="page"/>
      </w:r>
    </w:p>
    <w:p w14:paraId="3CDB30E4" w14:textId="4950679B" w:rsidR="008F777A" w:rsidRPr="008261B1" w:rsidRDefault="00993A74" w:rsidP="00591FE3">
      <w:pPr>
        <w:spacing w:before="360" w:after="360"/>
        <w:rPr>
          <w:rFonts w:asciiTheme="majorHAnsi" w:hAnsiTheme="majorHAnsi" w:cstheme="majorHAnsi"/>
          <w:color w:val="000000" w:themeColor="text1"/>
          <w:sz w:val="20"/>
        </w:rPr>
        <w:sectPr w:rsidR="008F777A" w:rsidRPr="008261B1"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8261B1">
        <w:rPr>
          <w:rFonts w:asciiTheme="majorHAnsi" w:hAnsiTheme="majorHAnsi" w:cstheme="majorHAnsi"/>
          <w:sz w:val="20"/>
          <w:lang w:bidi="it-IT"/>
        </w:rPr>
        <w:lastRenderedPageBreak/>
        <w:t>L’Agenzia Europea per i Bisogni Educativi Speciali e l’Educazione Inclusiva (l’Agenzia) è un’organizzazione indipendente e autonoma. L’Agenzia è cofinanziata dai ministeri dell’Istruzione dei relativi Stati membri e dalla Commissione europea tramite una sovvenzione di funzionamento nell’ambito del programma per l’istruzione dell’Unione europea (UE).</w:t>
      </w:r>
    </w:p>
    <w:p w14:paraId="3FEF6BE7" w14:textId="042115BA" w:rsidR="00AE0DDC" w:rsidRPr="008261B1" w:rsidRDefault="00FD660B" w:rsidP="00591FE3">
      <w:pPr>
        <w:pStyle w:val="Agency-body-text"/>
        <w:spacing w:before="360" w:after="360"/>
        <w:rPr>
          <w:rFonts w:asciiTheme="majorHAnsi" w:hAnsiTheme="majorHAnsi" w:cstheme="majorHAnsi"/>
          <w:sz w:val="20"/>
        </w:rPr>
      </w:pPr>
      <w:r>
        <w:rPr>
          <w:rFonts w:asciiTheme="majorHAnsi" w:hAnsiTheme="majorHAnsi" w:cstheme="majorHAnsi"/>
          <w:noProof/>
          <w:lang w:bidi="it-IT"/>
        </w:rPr>
        <w:drawing>
          <wp:inline distT="0" distB="0" distL="0" distR="0" wp14:anchorId="2B0147E9" wp14:editId="1D772854">
            <wp:extent cx="1621524" cy="334978"/>
            <wp:effectExtent l="0" t="0" r="4445" b="0"/>
            <wp:docPr id="92" name="Picture 92" descr="Logo: simbolo dell’Unione europea e testo: Cofinanziato dall’Unione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simbolo dell’Unione europea e testo: Cofinanziato dall’Unione europea"/>
                    <pic:cNvPicPr/>
                  </pic:nvPicPr>
                  <pic:blipFill>
                    <a:blip r:embed="rId15"/>
                    <a:stretch>
                      <a:fillRect/>
                    </a:stretch>
                  </pic:blipFill>
                  <pic:spPr>
                    <a:xfrm>
                      <a:off x="0" y="0"/>
                      <a:ext cx="1649536" cy="340765"/>
                    </a:xfrm>
                    <a:prstGeom prst="rect">
                      <a:avLst/>
                    </a:prstGeom>
                  </pic:spPr>
                </pic:pic>
              </a:graphicData>
            </a:graphic>
          </wp:inline>
        </w:drawing>
      </w:r>
      <w:r w:rsidR="008F777A" w:rsidRPr="008261B1">
        <w:rPr>
          <w:rFonts w:asciiTheme="majorHAnsi" w:hAnsiTheme="majorHAnsi" w:cstheme="majorHAnsi"/>
          <w:sz w:val="20"/>
          <w:lang w:bidi="it-IT"/>
        </w:rPr>
        <w:br w:type="column"/>
      </w:r>
      <w:r w:rsidR="006E7573" w:rsidRPr="008261B1">
        <w:rPr>
          <w:rFonts w:asciiTheme="majorHAnsi" w:hAnsiTheme="majorHAnsi" w:cstheme="majorHAnsi"/>
          <w:sz w:val="20"/>
          <w:lang w:bidi="it-IT"/>
        </w:rPr>
        <w:t>Finanziato dall’Unione europea. Le opinioni e i pareri espressi sono tuttavia esclusivamente quelli dell’autore o degli autori e non riflettono necessariamente quelli dell’Unione europea o della Commissione europea. Né l’Unione europea né la Commissione europea possono essere ritenute responsabili.</w:t>
      </w:r>
    </w:p>
    <w:p w14:paraId="5F0B44EC" w14:textId="77777777" w:rsidR="008F777A" w:rsidRPr="008261B1" w:rsidRDefault="008F777A" w:rsidP="00591FE3">
      <w:pPr>
        <w:spacing w:before="360" w:after="360"/>
        <w:ind w:left="2693"/>
        <w:rPr>
          <w:rFonts w:asciiTheme="majorHAnsi" w:hAnsiTheme="majorHAnsi" w:cstheme="majorHAnsi"/>
          <w:sz w:val="20"/>
        </w:rPr>
        <w:sectPr w:rsidR="008F777A" w:rsidRPr="008261B1"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B870E1" w:rsidRDefault="00A4520C" w:rsidP="00591FE3">
      <w:pPr>
        <w:pStyle w:val="Agency-body-text"/>
        <w:spacing w:after="240"/>
        <w:rPr>
          <w:rFonts w:asciiTheme="majorHAnsi" w:hAnsiTheme="majorHAnsi" w:cstheme="majorHAnsi"/>
          <w:szCs w:val="24"/>
        </w:rPr>
      </w:pPr>
      <w:r w:rsidRPr="00B870E1">
        <w:rPr>
          <w:rFonts w:asciiTheme="majorHAnsi" w:hAnsiTheme="majorHAnsi" w:cstheme="majorHAnsi"/>
          <w:szCs w:val="24"/>
          <w:lang w:bidi="it-IT"/>
        </w:rPr>
        <w:t>Le opinioni espresse in questo documento non rappresentano necessariamente il punto di vista ufficiale dell’Agenzia, dei suoi Stati membri o della Commissione europea.</w:t>
      </w:r>
    </w:p>
    <w:p w14:paraId="54107337" w14:textId="31AA93F1" w:rsidR="00993A74" w:rsidRPr="00B870E1" w:rsidRDefault="00993A74" w:rsidP="00591FE3">
      <w:pPr>
        <w:pStyle w:val="Agency-body-text"/>
        <w:spacing w:before="240" w:after="240"/>
        <w:rPr>
          <w:rFonts w:asciiTheme="majorHAnsi" w:hAnsiTheme="majorHAnsi" w:cstheme="majorHAnsi"/>
          <w:b/>
          <w:szCs w:val="24"/>
          <w:lang w:val="en-US"/>
        </w:rPr>
      </w:pPr>
      <w:r w:rsidRPr="00B870E1">
        <w:rPr>
          <w:rFonts w:asciiTheme="majorHAnsi" w:hAnsiTheme="majorHAnsi" w:cstheme="majorHAnsi"/>
          <w:szCs w:val="24"/>
          <w:lang w:val="en-US" w:bidi="it-IT"/>
        </w:rPr>
        <w:t xml:space="preserve">© </w:t>
      </w:r>
      <w:r w:rsidRPr="00B870E1">
        <w:rPr>
          <w:rFonts w:asciiTheme="majorHAnsi" w:hAnsiTheme="majorHAnsi" w:cstheme="majorHAnsi"/>
          <w:b/>
          <w:szCs w:val="24"/>
          <w:lang w:val="en-US" w:bidi="it-IT"/>
        </w:rPr>
        <w:t>European Agency for Special Needs and Inclusive Education 2022</w:t>
      </w:r>
    </w:p>
    <w:p w14:paraId="1620ED22" w14:textId="77FA3FD1" w:rsidR="00A4520C" w:rsidRPr="00B870E1" w:rsidRDefault="00A4520C" w:rsidP="0071630E">
      <w:pPr>
        <w:pStyle w:val="Agency-body-text"/>
        <w:spacing w:before="240" w:after="240"/>
        <w:rPr>
          <w:rFonts w:asciiTheme="majorHAnsi" w:hAnsiTheme="majorHAnsi" w:cstheme="majorHAnsi"/>
          <w:szCs w:val="24"/>
          <w:lang w:val="en-US"/>
        </w:rPr>
      </w:pPr>
      <w:r w:rsidRPr="00B870E1">
        <w:rPr>
          <w:rFonts w:asciiTheme="majorHAnsi" w:hAnsiTheme="majorHAnsi" w:cstheme="majorHAnsi"/>
          <w:szCs w:val="24"/>
          <w:lang w:bidi="it-IT"/>
        </w:rPr>
        <w:t>A cura di:</w:t>
      </w:r>
      <w:r w:rsidRPr="00B870E1">
        <w:rPr>
          <w:rFonts w:asciiTheme="majorHAnsi" w:hAnsiTheme="majorHAnsi" w:cstheme="majorHAnsi"/>
          <w:szCs w:val="24"/>
          <w:lang w:val="en-US" w:bidi="it-IT"/>
        </w:rPr>
        <w:t xml:space="preserve"> Mary </w:t>
      </w:r>
      <w:proofErr w:type="spellStart"/>
      <w:r w:rsidRPr="00B870E1">
        <w:rPr>
          <w:rFonts w:asciiTheme="majorHAnsi" w:hAnsiTheme="majorHAnsi" w:cstheme="majorHAnsi"/>
          <w:szCs w:val="24"/>
          <w:lang w:val="en-US" w:bidi="it-IT"/>
        </w:rPr>
        <w:t>Kyriazopoulou</w:t>
      </w:r>
      <w:proofErr w:type="spellEnd"/>
      <w:r w:rsidRPr="00B870E1">
        <w:rPr>
          <w:rFonts w:asciiTheme="majorHAnsi" w:hAnsiTheme="majorHAnsi" w:cstheme="majorHAnsi"/>
          <w:szCs w:val="24"/>
          <w:lang w:val="en-US" w:bidi="it-IT"/>
        </w:rPr>
        <w:t xml:space="preserve">, </w:t>
      </w:r>
      <w:proofErr w:type="spellStart"/>
      <w:r w:rsidRPr="00B870E1">
        <w:rPr>
          <w:rFonts w:asciiTheme="majorHAnsi" w:hAnsiTheme="majorHAnsi" w:cstheme="majorHAnsi"/>
          <w:szCs w:val="24"/>
          <w:lang w:val="en-US" w:bidi="it-IT"/>
        </w:rPr>
        <w:t>Anthoula</w:t>
      </w:r>
      <w:proofErr w:type="spellEnd"/>
      <w:r w:rsidRPr="00B870E1">
        <w:rPr>
          <w:rFonts w:asciiTheme="majorHAnsi" w:hAnsiTheme="majorHAnsi" w:cstheme="majorHAnsi"/>
          <w:szCs w:val="24"/>
          <w:lang w:val="en-US" w:bidi="it-IT"/>
        </w:rPr>
        <w:t> </w:t>
      </w:r>
      <w:proofErr w:type="spellStart"/>
      <w:r w:rsidRPr="00B870E1">
        <w:rPr>
          <w:rFonts w:asciiTheme="majorHAnsi" w:hAnsiTheme="majorHAnsi" w:cstheme="majorHAnsi"/>
          <w:szCs w:val="24"/>
          <w:lang w:val="en-US" w:bidi="it-IT"/>
        </w:rPr>
        <w:t>Kefallinou</w:t>
      </w:r>
      <w:proofErr w:type="spellEnd"/>
      <w:r w:rsidRPr="00B870E1">
        <w:rPr>
          <w:rFonts w:asciiTheme="majorHAnsi" w:hAnsiTheme="majorHAnsi" w:cstheme="majorHAnsi"/>
          <w:szCs w:val="24"/>
          <w:lang w:val="en-US" w:bidi="it-IT"/>
        </w:rPr>
        <w:t>, Serge </w:t>
      </w:r>
      <w:proofErr w:type="spellStart"/>
      <w:r w:rsidRPr="00B870E1">
        <w:rPr>
          <w:rFonts w:asciiTheme="majorHAnsi" w:hAnsiTheme="majorHAnsi" w:cstheme="majorHAnsi"/>
          <w:szCs w:val="24"/>
          <w:lang w:val="en-US" w:bidi="it-IT"/>
        </w:rPr>
        <w:t>Ebersold</w:t>
      </w:r>
      <w:proofErr w:type="spellEnd"/>
      <w:r w:rsidRPr="00B870E1">
        <w:rPr>
          <w:rFonts w:asciiTheme="majorHAnsi" w:hAnsiTheme="majorHAnsi" w:cstheme="majorHAnsi"/>
          <w:szCs w:val="24"/>
          <w:lang w:val="en-US" w:bidi="it-IT"/>
        </w:rPr>
        <w:t>, Per Skoglund, Eloy </w:t>
      </w:r>
      <w:proofErr w:type="spellStart"/>
      <w:r w:rsidRPr="00B870E1">
        <w:rPr>
          <w:rFonts w:asciiTheme="majorHAnsi" w:hAnsiTheme="majorHAnsi" w:cstheme="majorHAnsi"/>
          <w:szCs w:val="24"/>
          <w:lang w:val="en-US" w:bidi="it-IT"/>
        </w:rPr>
        <w:t>Rebollo</w:t>
      </w:r>
      <w:proofErr w:type="spellEnd"/>
      <w:r w:rsidRPr="00B870E1">
        <w:rPr>
          <w:rFonts w:asciiTheme="majorHAnsi" w:hAnsiTheme="majorHAnsi" w:cstheme="majorHAnsi"/>
          <w:szCs w:val="24"/>
          <w:lang w:val="en-US" w:bidi="it-IT"/>
        </w:rPr>
        <w:t> </w:t>
      </w:r>
      <w:proofErr w:type="spellStart"/>
      <w:r w:rsidRPr="00B870E1">
        <w:rPr>
          <w:rFonts w:asciiTheme="majorHAnsi" w:hAnsiTheme="majorHAnsi" w:cstheme="majorHAnsi"/>
          <w:szCs w:val="24"/>
          <w:lang w:val="en-US" w:bidi="it-IT"/>
        </w:rPr>
        <w:t>Píriz</w:t>
      </w:r>
      <w:proofErr w:type="spellEnd"/>
      <w:r w:rsidRPr="00B870E1">
        <w:rPr>
          <w:rFonts w:asciiTheme="majorHAnsi" w:hAnsiTheme="majorHAnsi" w:cstheme="majorHAnsi"/>
          <w:szCs w:val="24"/>
          <w:lang w:val="en-US" w:bidi="it-IT"/>
        </w:rPr>
        <w:t xml:space="preserve"> e Mikkel </w:t>
      </w:r>
      <w:proofErr w:type="spellStart"/>
      <w:r w:rsidRPr="00B870E1">
        <w:rPr>
          <w:rFonts w:asciiTheme="majorHAnsi" w:hAnsiTheme="majorHAnsi" w:cstheme="majorHAnsi"/>
          <w:szCs w:val="24"/>
          <w:lang w:val="en-US" w:bidi="it-IT"/>
        </w:rPr>
        <w:t>Lučić</w:t>
      </w:r>
      <w:proofErr w:type="spellEnd"/>
      <w:r w:rsidRPr="00B870E1">
        <w:rPr>
          <w:rFonts w:asciiTheme="majorHAnsi" w:hAnsiTheme="majorHAnsi" w:cstheme="majorHAnsi"/>
          <w:szCs w:val="24"/>
          <w:lang w:val="en-US" w:bidi="it-IT"/>
        </w:rPr>
        <w:t> Wichmann</w:t>
      </w:r>
    </w:p>
    <w:p w14:paraId="0835F743" w14:textId="59B3ADC5" w:rsidR="00B96828" w:rsidRPr="00B870E1" w:rsidRDefault="00F84141" w:rsidP="0071630E">
      <w:pPr>
        <w:pStyle w:val="Agency-body-text"/>
        <w:spacing w:before="240" w:after="240"/>
        <w:rPr>
          <w:rFonts w:asciiTheme="majorHAnsi" w:hAnsiTheme="majorHAnsi" w:cstheme="majorHAnsi"/>
          <w:szCs w:val="24"/>
        </w:rPr>
      </w:pPr>
      <w:r w:rsidRPr="00B870E1">
        <w:rPr>
          <w:rFonts w:asciiTheme="majorHAnsi" w:hAnsiTheme="majorHAnsi" w:cstheme="majorHAnsi"/>
          <w:szCs w:val="24"/>
          <w:lang w:bidi="it-IT"/>
        </w:rPr>
        <w:t xml:space="preserve">La presente pubblicazione è una risorsa </w:t>
      </w:r>
      <w:r w:rsidRPr="00B870E1">
        <w:rPr>
          <w:rFonts w:asciiTheme="majorHAnsi" w:hAnsiTheme="majorHAnsi" w:cstheme="majorHAnsi"/>
          <w:i/>
          <w:szCs w:val="24"/>
          <w:lang w:bidi="it-IT"/>
        </w:rPr>
        <w:t>open-source</w:t>
      </w:r>
      <w:r w:rsidRPr="00B870E1">
        <w:rPr>
          <w:rFonts w:asciiTheme="majorHAnsi" w:hAnsiTheme="majorHAnsi" w:cstheme="majorHAnsi"/>
          <w:szCs w:val="24"/>
          <w:lang w:bidi="it-IT"/>
        </w:rPr>
        <w:t xml:space="preserve">. Ciò significa che l’utente è libero di accedervi, utilizzarla, modificarla e divulgarla citando adeguatamente l’Agenzia Europea per i Bisogni Educativi Speciali e l’Educazione Inclusiva. Per ulteriori informazioni si rimanda alla politica dell’Agenzia sull’accesso aperto: </w:t>
      </w:r>
      <w:r w:rsidR="004D0A83">
        <w:rPr>
          <w:rFonts w:asciiTheme="majorHAnsi" w:hAnsiTheme="majorHAnsi" w:cstheme="majorHAnsi"/>
          <w:szCs w:val="24"/>
          <w:lang w:bidi="it-IT"/>
        </w:rPr>
        <w:br/>
      </w:r>
      <w:hyperlink r:id="rId16" w:history="1">
        <w:r w:rsidR="000438BA" w:rsidRPr="00B870E1">
          <w:rPr>
            <w:rStyle w:val="Hyperlink"/>
            <w:rFonts w:asciiTheme="majorHAnsi" w:hAnsiTheme="majorHAnsi" w:cstheme="majorHAnsi"/>
            <w:szCs w:val="24"/>
            <w:lang w:bidi="it-IT"/>
          </w:rPr>
          <w:t>www.european-agency.org/open-access-policy</w:t>
        </w:r>
      </w:hyperlink>
      <w:r w:rsidRPr="00B870E1">
        <w:rPr>
          <w:rFonts w:asciiTheme="majorHAnsi" w:hAnsiTheme="majorHAnsi" w:cstheme="majorHAnsi"/>
          <w:szCs w:val="24"/>
          <w:lang w:bidi="it-IT"/>
        </w:rPr>
        <w:t>.</w:t>
      </w:r>
    </w:p>
    <w:p w14:paraId="195B8AE0" w14:textId="36360A99" w:rsidR="00705A86" w:rsidRPr="00B870E1" w:rsidRDefault="00E967BF" w:rsidP="00B870E1">
      <w:pPr>
        <w:pStyle w:val="Agency-body-text"/>
        <w:spacing w:before="240" w:after="360"/>
        <w:rPr>
          <w:rFonts w:asciiTheme="majorHAnsi" w:hAnsiTheme="majorHAnsi" w:cstheme="majorHAnsi"/>
          <w:szCs w:val="24"/>
        </w:rPr>
      </w:pPr>
      <w:r w:rsidRPr="00B870E1">
        <w:rPr>
          <w:rFonts w:asciiTheme="majorHAnsi" w:hAnsiTheme="majorHAnsi" w:cstheme="majorHAnsi"/>
          <w:szCs w:val="24"/>
          <w:lang w:bidi="it-IT"/>
        </w:rPr>
        <w:t xml:space="preserve">È possibile citare la presente pubblicazione come segue: Agenzia Europea per i Bisogni Educativi Speciali e l’Educazione Inclusiva, 2022. </w:t>
      </w:r>
      <w:r w:rsidRPr="00B870E1">
        <w:rPr>
          <w:rFonts w:asciiTheme="majorHAnsi" w:hAnsiTheme="majorHAnsi" w:cstheme="majorHAnsi"/>
          <w:i/>
          <w:szCs w:val="24"/>
          <w:lang w:bidi="it-IT"/>
        </w:rPr>
        <w:t>L’evoluzione del ruolo delle prestazioni a supporto dell’educazione inclusiva: Strumento di autovalutazione delle politiche.</w:t>
      </w:r>
      <w:r w:rsidRPr="00B870E1">
        <w:rPr>
          <w:rFonts w:asciiTheme="majorHAnsi" w:hAnsiTheme="majorHAnsi" w:cstheme="majorHAnsi"/>
          <w:szCs w:val="24"/>
          <w:lang w:bidi="it-IT"/>
        </w:rPr>
        <w:t xml:space="preserve"> (M. Kyriazopoulou, A. Kefallinou, S. Ebersold, P. Skoglund, E. Rebollo Píriz e M. Lučić Wichmann, a cura di). Odense, Danimarca</w:t>
      </w:r>
    </w:p>
    <w:p w14:paraId="67EB7C6E" w14:textId="77777777" w:rsidR="00B96828" w:rsidRPr="008261B1" w:rsidRDefault="00B96828" w:rsidP="00B870E1">
      <w:pPr>
        <w:spacing w:before="240" w:after="360"/>
        <w:rPr>
          <w:rFonts w:asciiTheme="majorHAnsi" w:hAnsiTheme="majorHAnsi" w:cstheme="majorHAnsi"/>
          <w:szCs w:val="24"/>
        </w:rPr>
        <w:sectPr w:rsidR="00B96828" w:rsidRPr="008261B1" w:rsidSect="00AE0DDC">
          <w:type w:val="continuous"/>
          <w:pgSz w:w="11899" w:h="16838"/>
          <w:pgMar w:top="1134" w:right="1531" w:bottom="1276" w:left="1531" w:header="709" w:footer="828" w:gutter="0"/>
          <w:cols w:space="708"/>
          <w:titlePg/>
          <w:docGrid w:linePitch="360"/>
        </w:sectPr>
      </w:pPr>
    </w:p>
    <w:p w14:paraId="4674608C" w14:textId="60A662DE" w:rsidR="008E05A8" w:rsidRPr="008261B1" w:rsidRDefault="007405CA" w:rsidP="00591FE3">
      <w:pPr>
        <w:rPr>
          <w:rFonts w:asciiTheme="majorHAnsi" w:hAnsiTheme="majorHAnsi" w:cstheme="majorHAnsi"/>
          <w:color w:val="000000" w:themeColor="text1"/>
          <w:szCs w:val="24"/>
        </w:rPr>
        <w:sectPr w:rsidR="008E05A8" w:rsidRPr="008261B1" w:rsidSect="00F87C7F">
          <w:type w:val="continuous"/>
          <w:pgSz w:w="11899" w:h="16838"/>
          <w:pgMar w:top="1134" w:right="1531" w:bottom="1276" w:left="1531" w:header="709" w:footer="828" w:gutter="0"/>
          <w:cols w:num="2" w:space="567" w:equalWidth="0">
            <w:col w:w="1985" w:space="567"/>
            <w:col w:w="6285"/>
          </w:cols>
          <w:titlePg/>
          <w:docGrid w:linePitch="360"/>
        </w:sectPr>
      </w:pPr>
      <w:r w:rsidRPr="008261B1">
        <w:rPr>
          <w:rFonts w:asciiTheme="majorHAnsi" w:hAnsiTheme="majorHAnsi" w:cstheme="majorHAnsi"/>
          <w:noProof/>
          <w:lang w:val="el-GR" w:eastAsia="el-GR"/>
        </w:rPr>
        <w:drawing>
          <wp:inline distT="0" distB="0" distL="0" distR="0" wp14:anchorId="47A30A7C" wp14:editId="042F804D">
            <wp:extent cx="1260475" cy="452060"/>
            <wp:effectExtent l="0" t="0" r="0" b="5715"/>
            <wp:docPr id="6" name="Picture 6" descr="Logo: licenza Creative Commons Attribuzione - Non commerciale - Condividi allo stesso modo 4.0 Internaz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licenza Creative Commons Attribuzione - Non commerciale - Condividi allo stesso modo 4.0 Internazionale"/>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8261B1">
        <w:rPr>
          <w:rFonts w:asciiTheme="majorHAnsi" w:hAnsiTheme="majorHAnsi" w:cstheme="majorHAnsi"/>
          <w:lang w:bidi="it-IT"/>
        </w:rPr>
        <w:br w:type="column"/>
      </w:r>
      <w:r w:rsidR="00651FD2" w:rsidRPr="008261B1">
        <w:rPr>
          <w:rFonts w:asciiTheme="majorHAnsi" w:hAnsiTheme="majorHAnsi" w:cstheme="majorHAnsi"/>
          <w:sz w:val="20"/>
          <w:lang w:bidi="it-IT"/>
        </w:rPr>
        <w:t xml:space="preserve">Quest’opera è stata rilasciata con licenza </w:t>
      </w:r>
      <w:hyperlink r:id="rId18" w:history="1">
        <w:r w:rsidR="000B35DF" w:rsidRPr="008261B1">
          <w:rPr>
            <w:rStyle w:val="Hyperlink"/>
            <w:rFonts w:asciiTheme="majorHAnsi" w:hAnsiTheme="majorHAnsi" w:cstheme="majorHAnsi"/>
            <w:sz w:val="20"/>
            <w:lang w:bidi="it-IT"/>
          </w:rPr>
          <w:t>Creative Commons Attribuzione - Non commerciale - Condividi allo stesso modo 4.0 Internazionale</w:t>
        </w:r>
      </w:hyperlink>
      <w:r w:rsidR="000B35DF" w:rsidRPr="008261B1">
        <w:rPr>
          <w:rFonts w:asciiTheme="majorHAnsi" w:hAnsiTheme="majorHAnsi" w:cstheme="majorHAnsi"/>
          <w:sz w:val="20"/>
          <w:lang w:bidi="it-IT"/>
        </w:rPr>
        <w:t>. La presente pubblicazione può essere condivisa e adattata.</w:t>
      </w:r>
    </w:p>
    <w:p w14:paraId="79A8C840" w14:textId="1CDC2AEB" w:rsidR="00B96828" w:rsidRPr="00B870E1" w:rsidRDefault="00B96828" w:rsidP="00B870E1">
      <w:pPr>
        <w:pStyle w:val="Agency-body-text"/>
        <w:spacing w:before="360" w:after="240"/>
        <w:rPr>
          <w:rStyle w:val="Hyperlink"/>
          <w:rFonts w:asciiTheme="majorHAnsi" w:hAnsiTheme="majorHAnsi" w:cstheme="majorHAnsi"/>
          <w:szCs w:val="24"/>
        </w:rPr>
      </w:pPr>
      <w:r w:rsidRPr="00B870E1">
        <w:rPr>
          <w:rFonts w:asciiTheme="majorHAnsi" w:hAnsiTheme="majorHAnsi" w:cstheme="majorHAnsi"/>
          <w:szCs w:val="24"/>
          <w:lang w:bidi="it-IT"/>
        </w:rPr>
        <w:t xml:space="preserve">Al fine di garantire una maggiore accessibilità, questo rapporto è disponibile in 25 lingue e in formato elettronico accessibile sul sito web dell’Agenzia: </w:t>
      </w:r>
      <w:hyperlink r:id="rId19" w:history="1">
        <w:r w:rsidRPr="00B870E1">
          <w:rPr>
            <w:rStyle w:val="Hyperlink"/>
            <w:rFonts w:asciiTheme="majorHAnsi" w:hAnsiTheme="majorHAnsi" w:cstheme="majorHAnsi"/>
            <w:szCs w:val="24"/>
            <w:lang w:bidi="it-IT"/>
          </w:rPr>
          <w:t>www.european-agency.org</w:t>
        </w:r>
      </w:hyperlink>
    </w:p>
    <w:p w14:paraId="456741C0" w14:textId="051748F5" w:rsidR="0087477E" w:rsidRPr="00B870E1" w:rsidRDefault="0087477E" w:rsidP="0071630E">
      <w:pPr>
        <w:pStyle w:val="Agency-body-text"/>
        <w:spacing w:before="240" w:after="240"/>
        <w:rPr>
          <w:rFonts w:asciiTheme="majorHAnsi" w:hAnsiTheme="majorHAnsi" w:cstheme="majorHAnsi"/>
          <w:szCs w:val="24"/>
        </w:rPr>
      </w:pPr>
      <w:r w:rsidRPr="00B870E1">
        <w:rPr>
          <w:rFonts w:asciiTheme="majorHAnsi" w:hAnsiTheme="majorHAnsi" w:cstheme="majorHAnsi"/>
          <w:szCs w:val="24"/>
          <w:lang w:bidi="it-IT"/>
        </w:rPr>
        <w:t>Questa è una traduzione di un testo originale in inglese. In caso di dubbi sull’esattezza delle informazioni presenti nella traduzione, fare riferimento al testo originale in inglese.</w:t>
      </w:r>
    </w:p>
    <w:p w14:paraId="5B1746F2" w14:textId="21AA820D" w:rsidR="00B96828" w:rsidRPr="00B870E1" w:rsidRDefault="00B96828" w:rsidP="00B870E1">
      <w:pPr>
        <w:tabs>
          <w:tab w:val="left" w:pos="4680"/>
        </w:tabs>
        <w:spacing w:before="240" w:after="240"/>
        <w:rPr>
          <w:rFonts w:asciiTheme="majorHAnsi" w:hAnsiTheme="majorHAnsi" w:cstheme="majorHAnsi"/>
          <w:b/>
          <w:szCs w:val="24"/>
        </w:rPr>
      </w:pPr>
      <w:r w:rsidRPr="00B870E1">
        <w:rPr>
          <w:rFonts w:asciiTheme="majorHAnsi" w:hAnsiTheme="majorHAnsi" w:cstheme="majorHAnsi"/>
          <w:szCs w:val="24"/>
          <w:lang w:bidi="it-IT"/>
        </w:rPr>
        <w:t xml:space="preserve">ISBN: </w:t>
      </w:r>
      <w:r w:rsidR="001A294F" w:rsidRPr="00B870E1">
        <w:rPr>
          <w:rFonts w:asciiTheme="majorHAnsi" w:hAnsiTheme="majorHAnsi" w:cstheme="majorHAnsi"/>
          <w:szCs w:val="24"/>
          <w:lang w:val="en-IE" w:bidi="it-IT"/>
        </w:rPr>
        <w:t>978-87-7599-044-3</w:t>
      </w:r>
      <w:r w:rsidR="001A294F" w:rsidRPr="00B870E1">
        <w:rPr>
          <w:rFonts w:asciiTheme="majorHAnsi" w:hAnsiTheme="majorHAnsi" w:cstheme="majorHAnsi"/>
          <w:szCs w:val="24"/>
          <w:lang w:bidi="it-IT"/>
        </w:rPr>
        <w:t xml:space="preserve"> </w:t>
      </w:r>
      <w:r w:rsidRPr="00B870E1">
        <w:rPr>
          <w:rFonts w:asciiTheme="majorHAnsi" w:hAnsiTheme="majorHAnsi" w:cstheme="majorHAnsi"/>
          <w:szCs w:val="24"/>
          <w:lang w:bidi="it-IT"/>
        </w:rPr>
        <w:t>(formato elettronico)</w:t>
      </w:r>
    </w:p>
    <w:p w14:paraId="270989F5" w14:textId="77777777" w:rsidR="00B96828" w:rsidRPr="0071630E" w:rsidRDefault="00B96828" w:rsidP="0071630E">
      <w:pPr>
        <w:spacing w:before="240" w:after="240"/>
        <w:jc w:val="center"/>
        <w:rPr>
          <w:rFonts w:asciiTheme="majorHAnsi" w:hAnsiTheme="majorHAnsi" w:cstheme="majorHAnsi"/>
          <w:b/>
          <w:szCs w:val="24"/>
        </w:rPr>
        <w:sectPr w:rsidR="00B96828" w:rsidRPr="0071630E" w:rsidSect="00AE0DDC">
          <w:type w:val="continuous"/>
          <w:pgSz w:w="11899" w:h="16838"/>
          <w:pgMar w:top="1134" w:right="1531" w:bottom="1276" w:left="1531" w:header="709" w:footer="828" w:gutter="0"/>
          <w:cols w:space="708"/>
          <w:titlePg/>
          <w:docGrid w:linePitch="360"/>
        </w:sectPr>
      </w:pPr>
    </w:p>
    <w:p w14:paraId="33FE3FE4" w14:textId="77777777" w:rsidR="00AE0DDC" w:rsidRPr="008261B1" w:rsidRDefault="00765778" w:rsidP="00591FE3">
      <w:pPr>
        <w:pStyle w:val="Agency-body-text"/>
        <w:spacing w:before="40" w:after="40"/>
        <w:rPr>
          <w:rFonts w:asciiTheme="majorHAnsi" w:hAnsiTheme="majorHAnsi" w:cstheme="majorHAnsi"/>
          <w:b/>
          <w:bCs/>
          <w:szCs w:val="24"/>
        </w:rPr>
      </w:pPr>
      <w:r w:rsidRPr="008261B1">
        <w:rPr>
          <w:rFonts w:asciiTheme="majorHAnsi" w:hAnsiTheme="majorHAnsi" w:cstheme="majorHAnsi"/>
          <w:b/>
          <w:lang w:bidi="it-IT"/>
        </w:rPr>
        <w:t>Segreteria</w:t>
      </w:r>
    </w:p>
    <w:p w14:paraId="3BE5D709" w14:textId="77777777" w:rsidR="00765778" w:rsidRPr="008261B1" w:rsidRDefault="00765778" w:rsidP="00591FE3">
      <w:pPr>
        <w:pStyle w:val="Agency-body-text"/>
        <w:spacing w:before="40" w:after="40"/>
        <w:rPr>
          <w:rFonts w:asciiTheme="majorHAnsi" w:hAnsiTheme="majorHAnsi" w:cstheme="majorHAnsi"/>
          <w:szCs w:val="24"/>
        </w:rPr>
      </w:pPr>
      <w:r w:rsidRPr="008261B1">
        <w:rPr>
          <w:rFonts w:asciiTheme="majorHAnsi" w:hAnsiTheme="majorHAnsi" w:cstheme="majorHAnsi"/>
          <w:lang w:bidi="it-IT"/>
        </w:rPr>
        <w:t>Østre Stationsvej 33</w:t>
      </w:r>
    </w:p>
    <w:p w14:paraId="7B773980" w14:textId="77777777" w:rsidR="00765778" w:rsidRPr="008261B1" w:rsidRDefault="00765778" w:rsidP="00591FE3">
      <w:pPr>
        <w:pStyle w:val="Agency-body-text"/>
        <w:spacing w:before="40" w:after="40"/>
        <w:rPr>
          <w:rFonts w:asciiTheme="majorHAnsi" w:hAnsiTheme="majorHAnsi" w:cstheme="majorHAnsi"/>
          <w:szCs w:val="24"/>
          <w:lang w:val="de-DE"/>
        </w:rPr>
      </w:pPr>
      <w:r w:rsidRPr="008261B1">
        <w:rPr>
          <w:rFonts w:asciiTheme="majorHAnsi" w:hAnsiTheme="majorHAnsi" w:cstheme="majorHAnsi"/>
          <w:lang w:val="de-DE" w:bidi="it-IT"/>
        </w:rPr>
        <w:t>DK-5000 Odense C Denmark</w:t>
      </w:r>
    </w:p>
    <w:p w14:paraId="27E5DD69" w14:textId="77777777" w:rsidR="00765778" w:rsidRPr="008261B1" w:rsidRDefault="00765778" w:rsidP="00591FE3">
      <w:pPr>
        <w:pStyle w:val="Agency-body-text"/>
        <w:spacing w:before="40" w:after="40"/>
        <w:rPr>
          <w:rFonts w:asciiTheme="majorHAnsi" w:hAnsiTheme="majorHAnsi" w:cstheme="majorHAnsi"/>
          <w:szCs w:val="24"/>
          <w:lang w:val="de-DE"/>
        </w:rPr>
      </w:pPr>
      <w:r w:rsidRPr="008261B1">
        <w:rPr>
          <w:rFonts w:asciiTheme="majorHAnsi" w:hAnsiTheme="majorHAnsi" w:cstheme="majorHAnsi"/>
          <w:lang w:val="de-DE" w:bidi="it-IT"/>
        </w:rPr>
        <w:t>Tel.: +45 64 41 00 20</w:t>
      </w:r>
    </w:p>
    <w:p w14:paraId="386BCD00" w14:textId="77777777" w:rsidR="00077E1F" w:rsidRPr="008261B1" w:rsidRDefault="00000000" w:rsidP="00591FE3">
      <w:pPr>
        <w:pStyle w:val="Agency-body-text"/>
        <w:spacing w:before="40" w:after="40"/>
        <w:rPr>
          <w:rStyle w:val="Hyperlink"/>
          <w:rFonts w:asciiTheme="majorHAnsi" w:hAnsiTheme="majorHAnsi" w:cstheme="majorHAnsi"/>
        </w:rPr>
      </w:pPr>
      <w:hyperlink r:id="rId20" w:history="1">
        <w:r w:rsidR="00765778" w:rsidRPr="008261B1">
          <w:rPr>
            <w:rStyle w:val="Hyperlink"/>
            <w:rFonts w:asciiTheme="majorHAnsi" w:hAnsiTheme="majorHAnsi" w:cstheme="majorHAnsi"/>
            <w:lang w:bidi="it-IT"/>
          </w:rPr>
          <w:t>secretariat@european-agency.org</w:t>
        </w:r>
      </w:hyperlink>
    </w:p>
    <w:p w14:paraId="1AA45A42" w14:textId="77777777" w:rsidR="00765778" w:rsidRPr="008261B1" w:rsidRDefault="00077E1F" w:rsidP="00591FE3">
      <w:pPr>
        <w:pStyle w:val="Agency-body-text"/>
        <w:spacing w:before="40" w:after="40"/>
        <w:rPr>
          <w:rFonts w:asciiTheme="majorHAnsi" w:hAnsiTheme="majorHAnsi" w:cstheme="majorHAnsi"/>
          <w:b/>
          <w:bCs/>
          <w:szCs w:val="24"/>
        </w:rPr>
      </w:pPr>
      <w:r w:rsidRPr="008261B1">
        <w:rPr>
          <w:rStyle w:val="Hyperlink"/>
          <w:rFonts w:asciiTheme="majorHAnsi" w:hAnsiTheme="majorHAnsi" w:cstheme="majorHAnsi"/>
          <w:lang w:bidi="it-IT"/>
        </w:rPr>
        <w:br w:type="column"/>
      </w:r>
      <w:r w:rsidR="00765778" w:rsidRPr="008261B1">
        <w:rPr>
          <w:rFonts w:asciiTheme="majorHAnsi" w:hAnsiTheme="majorHAnsi" w:cstheme="majorHAnsi"/>
          <w:b/>
          <w:lang w:bidi="it-IT"/>
        </w:rPr>
        <w:t>Ufficio di Bruxelles</w:t>
      </w:r>
    </w:p>
    <w:p w14:paraId="2E2766FA" w14:textId="77777777" w:rsidR="00765778" w:rsidRPr="008261B1" w:rsidRDefault="00765778" w:rsidP="00591FE3">
      <w:pPr>
        <w:pStyle w:val="Agency-body-text"/>
        <w:spacing w:before="40" w:after="40"/>
        <w:rPr>
          <w:rFonts w:asciiTheme="majorHAnsi" w:hAnsiTheme="majorHAnsi" w:cstheme="majorHAnsi"/>
          <w:szCs w:val="24"/>
        </w:rPr>
      </w:pPr>
      <w:r w:rsidRPr="008261B1">
        <w:rPr>
          <w:rFonts w:asciiTheme="majorHAnsi" w:hAnsiTheme="majorHAnsi" w:cstheme="majorHAnsi"/>
          <w:lang w:bidi="it-IT"/>
        </w:rPr>
        <w:t>Rue Montoyer 21</w:t>
      </w:r>
    </w:p>
    <w:p w14:paraId="38A645DC" w14:textId="77777777" w:rsidR="00765778" w:rsidRPr="008261B1" w:rsidRDefault="00765778" w:rsidP="00591FE3">
      <w:pPr>
        <w:pStyle w:val="Agency-body-text"/>
        <w:spacing w:before="40" w:after="40"/>
        <w:rPr>
          <w:rFonts w:asciiTheme="majorHAnsi" w:hAnsiTheme="majorHAnsi" w:cstheme="majorHAnsi"/>
          <w:szCs w:val="24"/>
        </w:rPr>
      </w:pPr>
      <w:r w:rsidRPr="008261B1">
        <w:rPr>
          <w:rFonts w:asciiTheme="majorHAnsi" w:hAnsiTheme="majorHAnsi" w:cstheme="majorHAnsi"/>
          <w:lang w:bidi="it-IT"/>
        </w:rPr>
        <w:t>BE-1000 Brussels Belgium</w:t>
      </w:r>
    </w:p>
    <w:p w14:paraId="5DD2D5DF" w14:textId="77777777" w:rsidR="00765778" w:rsidRPr="008261B1" w:rsidRDefault="00765778" w:rsidP="00591FE3">
      <w:pPr>
        <w:pStyle w:val="Agency-body-text"/>
        <w:spacing w:before="40" w:after="40"/>
        <w:rPr>
          <w:rFonts w:asciiTheme="majorHAnsi" w:hAnsiTheme="majorHAnsi" w:cstheme="majorHAnsi"/>
          <w:szCs w:val="24"/>
        </w:rPr>
      </w:pPr>
      <w:r w:rsidRPr="008261B1">
        <w:rPr>
          <w:rFonts w:asciiTheme="majorHAnsi" w:hAnsiTheme="majorHAnsi" w:cstheme="majorHAnsi"/>
          <w:lang w:bidi="it-IT"/>
        </w:rPr>
        <w:t>Tel.: +32 2 213 62 80</w:t>
      </w:r>
    </w:p>
    <w:p w14:paraId="7C63BAC1" w14:textId="77777777" w:rsidR="00765778" w:rsidRPr="008261B1" w:rsidRDefault="00000000" w:rsidP="00591FE3">
      <w:pPr>
        <w:pStyle w:val="Agency-body-text"/>
        <w:spacing w:before="40" w:after="40"/>
        <w:rPr>
          <w:rStyle w:val="Hyperlink"/>
          <w:rFonts w:asciiTheme="majorHAnsi" w:hAnsiTheme="majorHAnsi" w:cstheme="majorHAnsi"/>
        </w:rPr>
      </w:pPr>
      <w:hyperlink r:id="rId21" w:history="1">
        <w:r w:rsidR="00765778" w:rsidRPr="008261B1">
          <w:rPr>
            <w:rStyle w:val="Hyperlink"/>
            <w:rFonts w:asciiTheme="majorHAnsi" w:hAnsiTheme="majorHAnsi" w:cstheme="majorHAnsi"/>
            <w:lang w:bidi="it-IT"/>
          </w:rPr>
          <w:t>brussels.office@european-agency.org</w:t>
        </w:r>
      </w:hyperlink>
    </w:p>
    <w:p w14:paraId="190069CA" w14:textId="77777777" w:rsidR="00765778" w:rsidRPr="008261B1" w:rsidRDefault="00765778" w:rsidP="00591FE3">
      <w:pPr>
        <w:spacing w:before="360"/>
        <w:jc w:val="center"/>
        <w:rPr>
          <w:rFonts w:asciiTheme="majorHAnsi" w:hAnsiTheme="majorHAnsi" w:cstheme="majorHAnsi"/>
          <w:sz w:val="20"/>
        </w:rPr>
        <w:sectPr w:rsidR="00765778" w:rsidRPr="008261B1" w:rsidSect="00077E1F">
          <w:type w:val="continuous"/>
          <w:pgSz w:w="11899" w:h="16838"/>
          <w:pgMar w:top="1134" w:right="1531" w:bottom="1276" w:left="1531" w:header="709" w:footer="828" w:gutter="0"/>
          <w:cols w:num="2" w:space="567"/>
          <w:titlePg/>
          <w:docGrid w:linePitch="360"/>
        </w:sectPr>
      </w:pPr>
    </w:p>
    <w:p w14:paraId="208E114D" w14:textId="77777777" w:rsidR="00DB7AB3" w:rsidRPr="008261B1" w:rsidRDefault="00DB7AB3" w:rsidP="00DA3CED">
      <w:pPr>
        <w:pStyle w:val="Agency-body-text"/>
        <w:keepNext/>
        <w:pBdr>
          <w:bottom w:val="single" w:sz="4" w:space="1" w:color="auto"/>
        </w:pBdr>
        <w:spacing w:before="0" w:after="400"/>
        <w:rPr>
          <w:rFonts w:asciiTheme="majorHAnsi" w:hAnsiTheme="majorHAnsi" w:cstheme="majorHAnsi"/>
          <w:b/>
          <w:caps/>
          <w:sz w:val="40"/>
          <w:szCs w:val="40"/>
        </w:rPr>
      </w:pPr>
      <w:r w:rsidRPr="008261B1">
        <w:rPr>
          <w:rFonts w:asciiTheme="majorHAnsi" w:hAnsiTheme="majorHAnsi" w:cstheme="majorHAnsi"/>
          <w:b/>
          <w:sz w:val="40"/>
          <w:lang w:bidi="it-IT"/>
        </w:rPr>
        <w:lastRenderedPageBreak/>
        <w:t>INDICE</w:t>
      </w:r>
    </w:p>
    <w:p w14:paraId="033FF67E" w14:textId="347B97C2" w:rsidR="008261B1" w:rsidRDefault="00D22260">
      <w:pPr>
        <w:pStyle w:val="TOC1"/>
        <w:tabs>
          <w:tab w:val="right" w:leader="underscore" w:pos="8827"/>
        </w:tabs>
        <w:rPr>
          <w:rFonts w:asciiTheme="minorHAnsi" w:eastAsiaTheme="minorEastAsia" w:hAnsiTheme="minorHAnsi" w:cstheme="minorBidi"/>
          <w:b w:val="0"/>
          <w:caps w:val="0"/>
          <w:noProof/>
          <w:sz w:val="22"/>
          <w:szCs w:val="22"/>
          <w:lang w:val="en-US"/>
        </w:rPr>
      </w:pPr>
      <w:r w:rsidRPr="008261B1">
        <w:rPr>
          <w:rFonts w:asciiTheme="majorHAnsi" w:hAnsiTheme="majorHAnsi" w:cstheme="majorHAnsi"/>
          <w:i/>
          <w:lang w:bidi="it-IT"/>
        </w:rPr>
        <w:fldChar w:fldCharType="begin"/>
      </w:r>
      <w:r w:rsidRPr="008261B1">
        <w:rPr>
          <w:rFonts w:asciiTheme="majorHAnsi" w:hAnsiTheme="majorHAnsi" w:cstheme="majorHAnsi"/>
          <w:i/>
          <w:lang w:bidi="it-IT"/>
        </w:rPr>
        <w:instrText xml:space="preserve"> TOC \h \z \t "Heading 1,1,Heading 2,2,Agency-heading-1,1,Agency-heading-2,2" </w:instrText>
      </w:r>
      <w:r w:rsidRPr="008261B1">
        <w:rPr>
          <w:rFonts w:asciiTheme="majorHAnsi" w:hAnsiTheme="majorHAnsi" w:cstheme="majorHAnsi"/>
          <w:i/>
          <w:lang w:bidi="it-IT"/>
        </w:rPr>
        <w:fldChar w:fldCharType="separate"/>
      </w:r>
      <w:hyperlink w:anchor="_Toc127367761" w:history="1">
        <w:r w:rsidR="008261B1" w:rsidRPr="00CF2EA9">
          <w:rPr>
            <w:rStyle w:val="Hyperlink"/>
            <w:rFonts w:asciiTheme="majorHAnsi" w:hAnsiTheme="majorHAnsi" w:cstheme="majorHAnsi"/>
            <w:noProof/>
            <w:lang w:bidi="it-IT"/>
          </w:rPr>
          <w:t>Introduzione</w:t>
        </w:r>
        <w:r w:rsidR="008261B1">
          <w:rPr>
            <w:noProof/>
            <w:webHidden/>
          </w:rPr>
          <w:tab/>
        </w:r>
        <w:r w:rsidR="008261B1">
          <w:rPr>
            <w:noProof/>
            <w:webHidden/>
          </w:rPr>
          <w:fldChar w:fldCharType="begin"/>
        </w:r>
        <w:r w:rsidR="008261B1">
          <w:rPr>
            <w:noProof/>
            <w:webHidden/>
          </w:rPr>
          <w:instrText xml:space="preserve"> PAGEREF _Toc127367761 \h </w:instrText>
        </w:r>
        <w:r w:rsidR="008261B1">
          <w:rPr>
            <w:noProof/>
            <w:webHidden/>
          </w:rPr>
        </w:r>
        <w:r w:rsidR="008261B1">
          <w:rPr>
            <w:noProof/>
            <w:webHidden/>
          </w:rPr>
          <w:fldChar w:fldCharType="separate"/>
        </w:r>
        <w:r w:rsidR="00B870E1">
          <w:rPr>
            <w:noProof/>
            <w:webHidden/>
          </w:rPr>
          <w:t>5</w:t>
        </w:r>
        <w:r w:rsidR="008261B1">
          <w:rPr>
            <w:noProof/>
            <w:webHidden/>
          </w:rPr>
          <w:fldChar w:fldCharType="end"/>
        </w:r>
      </w:hyperlink>
    </w:p>
    <w:p w14:paraId="47DFEB3B" w14:textId="2E8D90B3" w:rsidR="008261B1"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67762" w:history="1">
        <w:r w:rsidR="008261B1" w:rsidRPr="00CF2EA9">
          <w:rPr>
            <w:rStyle w:val="Hyperlink"/>
            <w:rFonts w:asciiTheme="majorHAnsi" w:hAnsiTheme="majorHAnsi" w:cstheme="majorHAnsi"/>
            <w:noProof/>
            <w:lang w:bidi="it-IT"/>
          </w:rPr>
          <w:t>Scopo dello strumento</w:t>
        </w:r>
        <w:r w:rsidR="008261B1">
          <w:rPr>
            <w:noProof/>
            <w:webHidden/>
          </w:rPr>
          <w:tab/>
        </w:r>
        <w:r w:rsidR="008261B1">
          <w:rPr>
            <w:noProof/>
            <w:webHidden/>
          </w:rPr>
          <w:fldChar w:fldCharType="begin"/>
        </w:r>
        <w:r w:rsidR="008261B1">
          <w:rPr>
            <w:noProof/>
            <w:webHidden/>
          </w:rPr>
          <w:instrText xml:space="preserve"> PAGEREF _Toc127367762 \h </w:instrText>
        </w:r>
        <w:r w:rsidR="008261B1">
          <w:rPr>
            <w:noProof/>
            <w:webHidden/>
          </w:rPr>
        </w:r>
        <w:r w:rsidR="008261B1">
          <w:rPr>
            <w:noProof/>
            <w:webHidden/>
          </w:rPr>
          <w:fldChar w:fldCharType="separate"/>
        </w:r>
        <w:r w:rsidR="00B870E1">
          <w:rPr>
            <w:noProof/>
            <w:webHidden/>
          </w:rPr>
          <w:t>5</w:t>
        </w:r>
        <w:r w:rsidR="008261B1">
          <w:rPr>
            <w:noProof/>
            <w:webHidden/>
          </w:rPr>
          <w:fldChar w:fldCharType="end"/>
        </w:r>
      </w:hyperlink>
    </w:p>
    <w:p w14:paraId="74501DC2" w14:textId="3E81E4D2" w:rsidR="008261B1"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67763" w:history="1">
        <w:r w:rsidR="008261B1" w:rsidRPr="00CF2EA9">
          <w:rPr>
            <w:rStyle w:val="Hyperlink"/>
            <w:rFonts w:asciiTheme="majorHAnsi" w:hAnsiTheme="majorHAnsi" w:cstheme="majorHAnsi"/>
            <w:noProof/>
            <w:lang w:bidi="it-IT"/>
          </w:rPr>
          <w:t>Utilizzo dello strumento</w:t>
        </w:r>
        <w:r w:rsidR="008261B1">
          <w:rPr>
            <w:noProof/>
            <w:webHidden/>
          </w:rPr>
          <w:tab/>
        </w:r>
        <w:r w:rsidR="008261B1">
          <w:rPr>
            <w:noProof/>
            <w:webHidden/>
          </w:rPr>
          <w:fldChar w:fldCharType="begin"/>
        </w:r>
        <w:r w:rsidR="008261B1">
          <w:rPr>
            <w:noProof/>
            <w:webHidden/>
          </w:rPr>
          <w:instrText xml:space="preserve"> PAGEREF _Toc127367763 \h </w:instrText>
        </w:r>
        <w:r w:rsidR="008261B1">
          <w:rPr>
            <w:noProof/>
            <w:webHidden/>
          </w:rPr>
        </w:r>
        <w:r w:rsidR="008261B1">
          <w:rPr>
            <w:noProof/>
            <w:webHidden/>
          </w:rPr>
          <w:fldChar w:fldCharType="separate"/>
        </w:r>
        <w:r w:rsidR="00B870E1">
          <w:rPr>
            <w:noProof/>
            <w:webHidden/>
          </w:rPr>
          <w:t>6</w:t>
        </w:r>
        <w:r w:rsidR="008261B1">
          <w:rPr>
            <w:noProof/>
            <w:webHidden/>
          </w:rPr>
          <w:fldChar w:fldCharType="end"/>
        </w:r>
      </w:hyperlink>
    </w:p>
    <w:p w14:paraId="40929ED3" w14:textId="2B166C62" w:rsidR="008261B1"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7764" w:history="1">
        <w:r w:rsidR="008261B1" w:rsidRPr="00CF2EA9">
          <w:rPr>
            <w:rStyle w:val="Hyperlink"/>
            <w:rFonts w:asciiTheme="majorHAnsi" w:hAnsiTheme="majorHAnsi" w:cstheme="majorHAnsi"/>
            <w:noProof/>
            <w:lang w:bidi="it-IT"/>
          </w:rPr>
          <w:t>Preparazione</w:t>
        </w:r>
        <w:r w:rsidR="008261B1">
          <w:rPr>
            <w:noProof/>
            <w:webHidden/>
          </w:rPr>
          <w:tab/>
        </w:r>
        <w:r w:rsidR="008261B1">
          <w:rPr>
            <w:noProof/>
            <w:webHidden/>
          </w:rPr>
          <w:fldChar w:fldCharType="begin"/>
        </w:r>
        <w:r w:rsidR="008261B1">
          <w:rPr>
            <w:noProof/>
            <w:webHidden/>
          </w:rPr>
          <w:instrText xml:space="preserve"> PAGEREF _Toc127367764 \h </w:instrText>
        </w:r>
        <w:r w:rsidR="008261B1">
          <w:rPr>
            <w:noProof/>
            <w:webHidden/>
          </w:rPr>
        </w:r>
        <w:r w:rsidR="008261B1">
          <w:rPr>
            <w:noProof/>
            <w:webHidden/>
          </w:rPr>
          <w:fldChar w:fldCharType="separate"/>
        </w:r>
        <w:r w:rsidR="00B870E1">
          <w:rPr>
            <w:noProof/>
            <w:webHidden/>
          </w:rPr>
          <w:t>6</w:t>
        </w:r>
        <w:r w:rsidR="008261B1">
          <w:rPr>
            <w:noProof/>
            <w:webHidden/>
          </w:rPr>
          <w:fldChar w:fldCharType="end"/>
        </w:r>
      </w:hyperlink>
    </w:p>
    <w:p w14:paraId="53E3EE86" w14:textId="7723E3AC" w:rsidR="008261B1"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7765" w:history="1">
        <w:r w:rsidR="008261B1" w:rsidRPr="00CF2EA9">
          <w:rPr>
            <w:rStyle w:val="Hyperlink"/>
            <w:rFonts w:asciiTheme="majorHAnsi" w:hAnsiTheme="majorHAnsi" w:cstheme="majorHAnsi"/>
            <w:noProof/>
            <w:lang w:bidi="it-IT"/>
          </w:rPr>
          <w:t>Compilazione dello strumento</w:t>
        </w:r>
        <w:r w:rsidR="008261B1">
          <w:rPr>
            <w:noProof/>
            <w:webHidden/>
          </w:rPr>
          <w:tab/>
        </w:r>
        <w:r w:rsidR="008261B1">
          <w:rPr>
            <w:noProof/>
            <w:webHidden/>
          </w:rPr>
          <w:fldChar w:fldCharType="begin"/>
        </w:r>
        <w:r w:rsidR="008261B1">
          <w:rPr>
            <w:noProof/>
            <w:webHidden/>
          </w:rPr>
          <w:instrText xml:space="preserve"> PAGEREF _Toc127367765 \h </w:instrText>
        </w:r>
        <w:r w:rsidR="008261B1">
          <w:rPr>
            <w:noProof/>
            <w:webHidden/>
          </w:rPr>
        </w:r>
        <w:r w:rsidR="008261B1">
          <w:rPr>
            <w:noProof/>
            <w:webHidden/>
          </w:rPr>
          <w:fldChar w:fldCharType="separate"/>
        </w:r>
        <w:r w:rsidR="00B870E1">
          <w:rPr>
            <w:noProof/>
            <w:webHidden/>
          </w:rPr>
          <w:t>6</w:t>
        </w:r>
        <w:r w:rsidR="008261B1">
          <w:rPr>
            <w:noProof/>
            <w:webHidden/>
          </w:rPr>
          <w:fldChar w:fldCharType="end"/>
        </w:r>
      </w:hyperlink>
    </w:p>
    <w:p w14:paraId="6A427DC4" w14:textId="766A63DA" w:rsidR="008261B1"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7766" w:history="1">
        <w:r w:rsidR="008261B1" w:rsidRPr="00CF2EA9">
          <w:rPr>
            <w:rStyle w:val="Hyperlink"/>
            <w:rFonts w:asciiTheme="majorHAnsi" w:hAnsiTheme="majorHAnsi" w:cstheme="majorHAnsi"/>
            <w:noProof/>
            <w:lang w:bidi="it-IT"/>
          </w:rPr>
          <w:t>Riflessione sulle risposte</w:t>
        </w:r>
        <w:r w:rsidR="008261B1">
          <w:rPr>
            <w:noProof/>
            <w:webHidden/>
          </w:rPr>
          <w:tab/>
        </w:r>
        <w:r w:rsidR="008261B1">
          <w:rPr>
            <w:noProof/>
            <w:webHidden/>
          </w:rPr>
          <w:fldChar w:fldCharType="begin"/>
        </w:r>
        <w:r w:rsidR="008261B1">
          <w:rPr>
            <w:noProof/>
            <w:webHidden/>
          </w:rPr>
          <w:instrText xml:space="preserve"> PAGEREF _Toc127367766 \h </w:instrText>
        </w:r>
        <w:r w:rsidR="008261B1">
          <w:rPr>
            <w:noProof/>
            <w:webHidden/>
          </w:rPr>
        </w:r>
        <w:r w:rsidR="008261B1">
          <w:rPr>
            <w:noProof/>
            <w:webHidden/>
          </w:rPr>
          <w:fldChar w:fldCharType="separate"/>
        </w:r>
        <w:r w:rsidR="00B870E1">
          <w:rPr>
            <w:noProof/>
            <w:webHidden/>
          </w:rPr>
          <w:t>7</w:t>
        </w:r>
        <w:r w:rsidR="008261B1">
          <w:rPr>
            <w:noProof/>
            <w:webHidden/>
          </w:rPr>
          <w:fldChar w:fldCharType="end"/>
        </w:r>
      </w:hyperlink>
    </w:p>
    <w:p w14:paraId="13DFC869" w14:textId="7205A887" w:rsidR="008261B1"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67767" w:history="1">
        <w:r w:rsidR="008261B1" w:rsidRPr="00CF2EA9">
          <w:rPr>
            <w:rStyle w:val="Hyperlink"/>
            <w:rFonts w:asciiTheme="majorHAnsi" w:hAnsiTheme="majorHAnsi" w:cstheme="majorHAnsi"/>
            <w:noProof/>
            <w:lang w:bidi="it-IT"/>
          </w:rPr>
          <w:t>Strumento di autovalutazione delle politiche CROSP</w:t>
        </w:r>
        <w:r w:rsidR="008261B1">
          <w:rPr>
            <w:noProof/>
            <w:webHidden/>
          </w:rPr>
          <w:tab/>
        </w:r>
        <w:r w:rsidR="008261B1">
          <w:rPr>
            <w:noProof/>
            <w:webHidden/>
          </w:rPr>
          <w:fldChar w:fldCharType="begin"/>
        </w:r>
        <w:r w:rsidR="008261B1">
          <w:rPr>
            <w:noProof/>
            <w:webHidden/>
          </w:rPr>
          <w:instrText xml:space="preserve"> PAGEREF _Toc127367767 \h </w:instrText>
        </w:r>
        <w:r w:rsidR="008261B1">
          <w:rPr>
            <w:noProof/>
            <w:webHidden/>
          </w:rPr>
        </w:r>
        <w:r w:rsidR="008261B1">
          <w:rPr>
            <w:noProof/>
            <w:webHidden/>
          </w:rPr>
          <w:fldChar w:fldCharType="separate"/>
        </w:r>
        <w:r w:rsidR="00B870E1">
          <w:rPr>
            <w:noProof/>
            <w:webHidden/>
          </w:rPr>
          <w:t>8</w:t>
        </w:r>
        <w:r w:rsidR="008261B1">
          <w:rPr>
            <w:noProof/>
            <w:webHidden/>
          </w:rPr>
          <w:fldChar w:fldCharType="end"/>
        </w:r>
      </w:hyperlink>
    </w:p>
    <w:p w14:paraId="0B180F75" w14:textId="2CF8E6D7" w:rsidR="008261B1"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7768" w:history="1">
        <w:r w:rsidR="008261B1" w:rsidRPr="00CF2EA9">
          <w:rPr>
            <w:rStyle w:val="Hyperlink"/>
            <w:rFonts w:asciiTheme="majorHAnsi" w:hAnsiTheme="majorHAnsi" w:cstheme="majorHAnsi"/>
            <w:noProof/>
            <w:lang w:bidi="it-IT"/>
          </w:rPr>
          <w:t>Principio guida 1: Sviluppare un impegno condiviso per l’educazione inclusiva</w:t>
        </w:r>
        <w:r w:rsidR="008261B1">
          <w:rPr>
            <w:noProof/>
            <w:webHidden/>
          </w:rPr>
          <w:tab/>
        </w:r>
        <w:r w:rsidR="008261B1">
          <w:rPr>
            <w:noProof/>
            <w:webHidden/>
          </w:rPr>
          <w:fldChar w:fldCharType="begin"/>
        </w:r>
        <w:r w:rsidR="008261B1">
          <w:rPr>
            <w:noProof/>
            <w:webHidden/>
          </w:rPr>
          <w:instrText xml:space="preserve"> PAGEREF _Toc127367768 \h </w:instrText>
        </w:r>
        <w:r w:rsidR="008261B1">
          <w:rPr>
            <w:noProof/>
            <w:webHidden/>
          </w:rPr>
        </w:r>
        <w:r w:rsidR="008261B1">
          <w:rPr>
            <w:noProof/>
            <w:webHidden/>
          </w:rPr>
          <w:fldChar w:fldCharType="separate"/>
        </w:r>
        <w:r w:rsidR="00B870E1">
          <w:rPr>
            <w:noProof/>
            <w:webHidden/>
          </w:rPr>
          <w:t>8</w:t>
        </w:r>
        <w:r w:rsidR="008261B1">
          <w:rPr>
            <w:noProof/>
            <w:webHidden/>
          </w:rPr>
          <w:fldChar w:fldCharType="end"/>
        </w:r>
      </w:hyperlink>
    </w:p>
    <w:p w14:paraId="3515AE88" w14:textId="40B4A329" w:rsidR="008261B1"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7769" w:history="1">
        <w:r w:rsidR="008261B1" w:rsidRPr="00CF2EA9">
          <w:rPr>
            <w:rStyle w:val="Hyperlink"/>
            <w:rFonts w:asciiTheme="majorHAnsi" w:hAnsiTheme="majorHAnsi" w:cstheme="majorHAnsi"/>
            <w:noProof/>
            <w:lang w:bidi="it-IT"/>
          </w:rPr>
          <w:t>Principio guida 2: Promuovere lo scambio di conoscenze e l’acquisizione di competenze inclusive attraverso la cooperazione e il lavoro in rete</w:t>
        </w:r>
        <w:r w:rsidR="008261B1">
          <w:rPr>
            <w:noProof/>
            <w:webHidden/>
          </w:rPr>
          <w:tab/>
        </w:r>
        <w:r w:rsidR="008261B1">
          <w:rPr>
            <w:noProof/>
            <w:webHidden/>
          </w:rPr>
          <w:fldChar w:fldCharType="begin"/>
        </w:r>
        <w:r w:rsidR="008261B1">
          <w:rPr>
            <w:noProof/>
            <w:webHidden/>
          </w:rPr>
          <w:instrText xml:space="preserve"> PAGEREF _Toc127367769 \h </w:instrText>
        </w:r>
        <w:r w:rsidR="008261B1">
          <w:rPr>
            <w:noProof/>
            <w:webHidden/>
          </w:rPr>
        </w:r>
        <w:r w:rsidR="008261B1">
          <w:rPr>
            <w:noProof/>
            <w:webHidden/>
          </w:rPr>
          <w:fldChar w:fldCharType="separate"/>
        </w:r>
        <w:r w:rsidR="00B870E1">
          <w:rPr>
            <w:noProof/>
            <w:webHidden/>
          </w:rPr>
          <w:t>10</w:t>
        </w:r>
        <w:r w:rsidR="008261B1">
          <w:rPr>
            <w:noProof/>
            <w:webHidden/>
          </w:rPr>
          <w:fldChar w:fldCharType="end"/>
        </w:r>
      </w:hyperlink>
    </w:p>
    <w:p w14:paraId="1BD565A2" w14:textId="40D1BE6E" w:rsidR="008261B1"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7770" w:history="1">
        <w:r w:rsidR="008261B1" w:rsidRPr="00CF2EA9">
          <w:rPr>
            <w:rStyle w:val="Hyperlink"/>
            <w:rFonts w:asciiTheme="majorHAnsi" w:hAnsiTheme="majorHAnsi" w:cstheme="majorHAnsi"/>
            <w:noProof/>
            <w:lang w:bidi="it-IT"/>
          </w:rPr>
          <w:t>Principio guida 3: Fornire aggiornamento professionale continuo sull’inclusione</w:t>
        </w:r>
        <w:r w:rsidR="008261B1">
          <w:rPr>
            <w:noProof/>
            <w:webHidden/>
          </w:rPr>
          <w:tab/>
        </w:r>
        <w:r w:rsidR="008261B1">
          <w:rPr>
            <w:noProof/>
            <w:webHidden/>
          </w:rPr>
          <w:fldChar w:fldCharType="begin"/>
        </w:r>
        <w:r w:rsidR="008261B1">
          <w:rPr>
            <w:noProof/>
            <w:webHidden/>
          </w:rPr>
          <w:instrText xml:space="preserve"> PAGEREF _Toc127367770 \h </w:instrText>
        </w:r>
        <w:r w:rsidR="008261B1">
          <w:rPr>
            <w:noProof/>
            <w:webHidden/>
          </w:rPr>
        </w:r>
        <w:r w:rsidR="008261B1">
          <w:rPr>
            <w:noProof/>
            <w:webHidden/>
          </w:rPr>
          <w:fldChar w:fldCharType="separate"/>
        </w:r>
        <w:r w:rsidR="00B870E1">
          <w:rPr>
            <w:noProof/>
            <w:webHidden/>
          </w:rPr>
          <w:t>12</w:t>
        </w:r>
        <w:r w:rsidR="008261B1">
          <w:rPr>
            <w:noProof/>
            <w:webHidden/>
          </w:rPr>
          <w:fldChar w:fldCharType="end"/>
        </w:r>
      </w:hyperlink>
    </w:p>
    <w:p w14:paraId="64A8C39A" w14:textId="0E89CD5B" w:rsidR="008261B1"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7771" w:history="1">
        <w:r w:rsidR="008261B1" w:rsidRPr="00CF2EA9">
          <w:rPr>
            <w:rStyle w:val="Hyperlink"/>
            <w:rFonts w:asciiTheme="majorHAnsi" w:hAnsiTheme="majorHAnsi" w:cstheme="majorHAnsi"/>
            <w:noProof/>
            <w:lang w:bidi="it-IT"/>
          </w:rPr>
          <w:t>Principio guida 4: supportare la leadership e la gestione scolastica inclusiva</w:t>
        </w:r>
        <w:r w:rsidR="008261B1">
          <w:rPr>
            <w:noProof/>
            <w:webHidden/>
          </w:rPr>
          <w:tab/>
        </w:r>
        <w:r w:rsidR="008261B1">
          <w:rPr>
            <w:noProof/>
            <w:webHidden/>
          </w:rPr>
          <w:fldChar w:fldCharType="begin"/>
        </w:r>
        <w:r w:rsidR="008261B1">
          <w:rPr>
            <w:noProof/>
            <w:webHidden/>
          </w:rPr>
          <w:instrText xml:space="preserve"> PAGEREF _Toc127367771 \h </w:instrText>
        </w:r>
        <w:r w:rsidR="008261B1">
          <w:rPr>
            <w:noProof/>
            <w:webHidden/>
          </w:rPr>
        </w:r>
        <w:r w:rsidR="008261B1">
          <w:rPr>
            <w:noProof/>
            <w:webHidden/>
          </w:rPr>
          <w:fldChar w:fldCharType="separate"/>
        </w:r>
        <w:r w:rsidR="00B870E1">
          <w:rPr>
            <w:noProof/>
            <w:webHidden/>
          </w:rPr>
          <w:t>15</w:t>
        </w:r>
        <w:r w:rsidR="008261B1">
          <w:rPr>
            <w:noProof/>
            <w:webHidden/>
          </w:rPr>
          <w:fldChar w:fldCharType="end"/>
        </w:r>
      </w:hyperlink>
    </w:p>
    <w:p w14:paraId="3964DD49" w14:textId="108030E9" w:rsidR="008261B1"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7772" w:history="1">
        <w:r w:rsidR="008261B1" w:rsidRPr="00CF2EA9">
          <w:rPr>
            <w:rStyle w:val="Hyperlink"/>
            <w:rFonts w:asciiTheme="majorHAnsi" w:hAnsiTheme="majorHAnsi" w:cstheme="majorHAnsi"/>
            <w:noProof/>
            <w:lang w:bidi="it-IT"/>
          </w:rPr>
          <w:t>Principio guida 5: incoraggiare il coinvolgimento attivo degli stakeholder</w:t>
        </w:r>
        <w:r w:rsidR="008261B1">
          <w:rPr>
            <w:noProof/>
            <w:webHidden/>
          </w:rPr>
          <w:tab/>
        </w:r>
        <w:r w:rsidR="008261B1">
          <w:rPr>
            <w:noProof/>
            <w:webHidden/>
          </w:rPr>
          <w:fldChar w:fldCharType="begin"/>
        </w:r>
        <w:r w:rsidR="008261B1">
          <w:rPr>
            <w:noProof/>
            <w:webHidden/>
          </w:rPr>
          <w:instrText xml:space="preserve"> PAGEREF _Toc127367772 \h </w:instrText>
        </w:r>
        <w:r w:rsidR="008261B1">
          <w:rPr>
            <w:noProof/>
            <w:webHidden/>
          </w:rPr>
        </w:r>
        <w:r w:rsidR="008261B1">
          <w:rPr>
            <w:noProof/>
            <w:webHidden/>
          </w:rPr>
          <w:fldChar w:fldCharType="separate"/>
        </w:r>
        <w:r w:rsidR="00B870E1">
          <w:rPr>
            <w:noProof/>
            <w:webHidden/>
          </w:rPr>
          <w:t>17</w:t>
        </w:r>
        <w:r w:rsidR="008261B1">
          <w:rPr>
            <w:noProof/>
            <w:webHidden/>
          </w:rPr>
          <w:fldChar w:fldCharType="end"/>
        </w:r>
      </w:hyperlink>
    </w:p>
    <w:p w14:paraId="6D8A1A66" w14:textId="34C43E78" w:rsidR="008261B1"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7773" w:history="1">
        <w:r w:rsidR="008261B1" w:rsidRPr="00CF2EA9">
          <w:rPr>
            <w:rStyle w:val="Hyperlink"/>
            <w:rFonts w:asciiTheme="majorHAnsi" w:hAnsiTheme="majorHAnsi" w:cstheme="majorHAnsi"/>
            <w:noProof/>
            <w:lang w:bidi="it-IT"/>
          </w:rPr>
          <w:t>Principio guida 6: promuovere il monitoraggio e la valutazione continui</w:t>
        </w:r>
        <w:r w:rsidR="008261B1">
          <w:rPr>
            <w:noProof/>
            <w:webHidden/>
          </w:rPr>
          <w:tab/>
        </w:r>
        <w:r w:rsidR="008261B1">
          <w:rPr>
            <w:noProof/>
            <w:webHidden/>
          </w:rPr>
          <w:fldChar w:fldCharType="begin"/>
        </w:r>
        <w:r w:rsidR="008261B1">
          <w:rPr>
            <w:noProof/>
            <w:webHidden/>
          </w:rPr>
          <w:instrText xml:space="preserve"> PAGEREF _Toc127367773 \h </w:instrText>
        </w:r>
        <w:r w:rsidR="008261B1">
          <w:rPr>
            <w:noProof/>
            <w:webHidden/>
          </w:rPr>
        </w:r>
        <w:r w:rsidR="008261B1">
          <w:rPr>
            <w:noProof/>
            <w:webHidden/>
          </w:rPr>
          <w:fldChar w:fldCharType="separate"/>
        </w:r>
        <w:r w:rsidR="00B870E1">
          <w:rPr>
            <w:noProof/>
            <w:webHidden/>
          </w:rPr>
          <w:t>19</w:t>
        </w:r>
        <w:r w:rsidR="008261B1">
          <w:rPr>
            <w:noProof/>
            <w:webHidden/>
          </w:rPr>
          <w:fldChar w:fldCharType="end"/>
        </w:r>
      </w:hyperlink>
    </w:p>
    <w:p w14:paraId="6623B5EF" w14:textId="6E402EEC" w:rsidR="008261B1"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67774" w:history="1">
        <w:r w:rsidR="008261B1" w:rsidRPr="00CF2EA9">
          <w:rPr>
            <w:rStyle w:val="Hyperlink"/>
            <w:rFonts w:asciiTheme="majorHAnsi" w:hAnsiTheme="majorHAnsi" w:cstheme="majorHAnsi"/>
            <w:noProof/>
            <w:lang w:bidi="it-IT"/>
          </w:rPr>
          <w:t>Allegato 1: glossario dei termini</w:t>
        </w:r>
        <w:r w:rsidR="008261B1">
          <w:rPr>
            <w:noProof/>
            <w:webHidden/>
          </w:rPr>
          <w:tab/>
        </w:r>
        <w:r w:rsidR="008261B1">
          <w:rPr>
            <w:noProof/>
            <w:webHidden/>
          </w:rPr>
          <w:fldChar w:fldCharType="begin"/>
        </w:r>
        <w:r w:rsidR="008261B1">
          <w:rPr>
            <w:noProof/>
            <w:webHidden/>
          </w:rPr>
          <w:instrText xml:space="preserve"> PAGEREF _Toc127367774 \h </w:instrText>
        </w:r>
        <w:r w:rsidR="008261B1">
          <w:rPr>
            <w:noProof/>
            <w:webHidden/>
          </w:rPr>
        </w:r>
        <w:r w:rsidR="008261B1">
          <w:rPr>
            <w:noProof/>
            <w:webHidden/>
          </w:rPr>
          <w:fldChar w:fldCharType="separate"/>
        </w:r>
        <w:r w:rsidR="00B870E1">
          <w:rPr>
            <w:noProof/>
            <w:webHidden/>
          </w:rPr>
          <w:t>22</w:t>
        </w:r>
        <w:r w:rsidR="008261B1">
          <w:rPr>
            <w:noProof/>
            <w:webHidden/>
          </w:rPr>
          <w:fldChar w:fldCharType="end"/>
        </w:r>
      </w:hyperlink>
    </w:p>
    <w:p w14:paraId="03078DD6" w14:textId="566FBCE5" w:rsidR="008261B1"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67775" w:history="1">
        <w:r w:rsidR="008261B1" w:rsidRPr="00CF2EA9">
          <w:rPr>
            <w:rStyle w:val="Hyperlink"/>
            <w:rFonts w:asciiTheme="majorHAnsi" w:hAnsiTheme="majorHAnsi" w:cstheme="majorHAnsi"/>
            <w:noProof/>
            <w:lang w:bidi="it-IT"/>
          </w:rPr>
          <w:t>Allegato 2: quadro dello strumento</w:t>
        </w:r>
        <w:r w:rsidR="008261B1">
          <w:rPr>
            <w:noProof/>
            <w:webHidden/>
          </w:rPr>
          <w:tab/>
        </w:r>
        <w:r w:rsidR="008261B1">
          <w:rPr>
            <w:noProof/>
            <w:webHidden/>
          </w:rPr>
          <w:fldChar w:fldCharType="begin"/>
        </w:r>
        <w:r w:rsidR="008261B1">
          <w:rPr>
            <w:noProof/>
            <w:webHidden/>
          </w:rPr>
          <w:instrText xml:space="preserve"> PAGEREF _Toc127367775 \h </w:instrText>
        </w:r>
        <w:r w:rsidR="008261B1">
          <w:rPr>
            <w:noProof/>
            <w:webHidden/>
          </w:rPr>
        </w:r>
        <w:r w:rsidR="008261B1">
          <w:rPr>
            <w:noProof/>
            <w:webHidden/>
          </w:rPr>
          <w:fldChar w:fldCharType="separate"/>
        </w:r>
        <w:r w:rsidR="00B870E1">
          <w:rPr>
            <w:noProof/>
            <w:webHidden/>
          </w:rPr>
          <w:t>26</w:t>
        </w:r>
        <w:r w:rsidR="008261B1">
          <w:rPr>
            <w:noProof/>
            <w:webHidden/>
          </w:rPr>
          <w:fldChar w:fldCharType="end"/>
        </w:r>
      </w:hyperlink>
    </w:p>
    <w:p w14:paraId="53D8EF75" w14:textId="0136B4E1" w:rsidR="008261B1"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7776" w:history="1">
        <w:r w:rsidR="008261B1" w:rsidRPr="00CF2EA9">
          <w:rPr>
            <w:rStyle w:val="Hyperlink"/>
            <w:rFonts w:asciiTheme="majorHAnsi" w:hAnsiTheme="majorHAnsi" w:cstheme="majorHAnsi"/>
            <w:noProof/>
            <w:lang w:bidi="it-IT"/>
          </w:rPr>
          <w:t>Principi guida</w:t>
        </w:r>
        <w:r w:rsidR="008261B1">
          <w:rPr>
            <w:noProof/>
            <w:webHidden/>
          </w:rPr>
          <w:tab/>
        </w:r>
        <w:r w:rsidR="008261B1">
          <w:rPr>
            <w:noProof/>
            <w:webHidden/>
          </w:rPr>
          <w:fldChar w:fldCharType="begin"/>
        </w:r>
        <w:r w:rsidR="008261B1">
          <w:rPr>
            <w:noProof/>
            <w:webHidden/>
          </w:rPr>
          <w:instrText xml:space="preserve"> PAGEREF _Toc127367776 \h </w:instrText>
        </w:r>
        <w:r w:rsidR="008261B1">
          <w:rPr>
            <w:noProof/>
            <w:webHidden/>
          </w:rPr>
        </w:r>
        <w:r w:rsidR="008261B1">
          <w:rPr>
            <w:noProof/>
            <w:webHidden/>
          </w:rPr>
          <w:fldChar w:fldCharType="separate"/>
        </w:r>
        <w:r w:rsidR="00B870E1">
          <w:rPr>
            <w:noProof/>
            <w:webHidden/>
          </w:rPr>
          <w:t>26</w:t>
        </w:r>
        <w:r w:rsidR="008261B1">
          <w:rPr>
            <w:noProof/>
            <w:webHidden/>
          </w:rPr>
          <w:fldChar w:fldCharType="end"/>
        </w:r>
      </w:hyperlink>
    </w:p>
    <w:p w14:paraId="4467357F" w14:textId="0F37A2C2" w:rsidR="008261B1"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7777" w:history="1">
        <w:r w:rsidR="008261B1" w:rsidRPr="00CF2EA9">
          <w:rPr>
            <w:rStyle w:val="Hyperlink"/>
            <w:rFonts w:asciiTheme="majorHAnsi" w:hAnsiTheme="majorHAnsi" w:cstheme="majorHAnsi"/>
            <w:noProof/>
            <w:lang w:bidi="it-IT"/>
          </w:rPr>
          <w:t>Priorità e strategie politiche</w:t>
        </w:r>
        <w:r w:rsidR="008261B1">
          <w:rPr>
            <w:noProof/>
            <w:webHidden/>
          </w:rPr>
          <w:tab/>
        </w:r>
        <w:r w:rsidR="008261B1">
          <w:rPr>
            <w:noProof/>
            <w:webHidden/>
          </w:rPr>
          <w:fldChar w:fldCharType="begin"/>
        </w:r>
        <w:r w:rsidR="008261B1">
          <w:rPr>
            <w:noProof/>
            <w:webHidden/>
          </w:rPr>
          <w:instrText xml:space="preserve"> PAGEREF _Toc127367777 \h </w:instrText>
        </w:r>
        <w:r w:rsidR="008261B1">
          <w:rPr>
            <w:noProof/>
            <w:webHidden/>
          </w:rPr>
        </w:r>
        <w:r w:rsidR="008261B1">
          <w:rPr>
            <w:noProof/>
            <w:webHidden/>
          </w:rPr>
          <w:fldChar w:fldCharType="separate"/>
        </w:r>
        <w:r w:rsidR="00B870E1">
          <w:rPr>
            <w:noProof/>
            <w:webHidden/>
          </w:rPr>
          <w:t>27</w:t>
        </w:r>
        <w:r w:rsidR="008261B1">
          <w:rPr>
            <w:noProof/>
            <w:webHidden/>
          </w:rPr>
          <w:fldChar w:fldCharType="end"/>
        </w:r>
      </w:hyperlink>
    </w:p>
    <w:p w14:paraId="467C1963" w14:textId="4508CD31" w:rsidR="008261B1"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7778" w:history="1">
        <w:r w:rsidR="008261B1" w:rsidRPr="00CF2EA9">
          <w:rPr>
            <w:rStyle w:val="Hyperlink"/>
            <w:rFonts w:asciiTheme="majorHAnsi" w:hAnsiTheme="majorHAnsi" w:cstheme="majorHAnsi"/>
            <w:noProof/>
            <w:lang w:bidi="it-IT"/>
          </w:rPr>
          <w:t>Azioni chiave</w:t>
        </w:r>
        <w:r w:rsidR="008261B1">
          <w:rPr>
            <w:noProof/>
            <w:webHidden/>
          </w:rPr>
          <w:tab/>
        </w:r>
        <w:r w:rsidR="008261B1">
          <w:rPr>
            <w:noProof/>
            <w:webHidden/>
          </w:rPr>
          <w:fldChar w:fldCharType="begin"/>
        </w:r>
        <w:r w:rsidR="008261B1">
          <w:rPr>
            <w:noProof/>
            <w:webHidden/>
          </w:rPr>
          <w:instrText xml:space="preserve"> PAGEREF _Toc127367778 \h </w:instrText>
        </w:r>
        <w:r w:rsidR="008261B1">
          <w:rPr>
            <w:noProof/>
            <w:webHidden/>
          </w:rPr>
        </w:r>
        <w:r w:rsidR="008261B1">
          <w:rPr>
            <w:noProof/>
            <w:webHidden/>
          </w:rPr>
          <w:fldChar w:fldCharType="separate"/>
        </w:r>
        <w:r w:rsidR="00B870E1">
          <w:rPr>
            <w:noProof/>
            <w:webHidden/>
          </w:rPr>
          <w:t>27</w:t>
        </w:r>
        <w:r w:rsidR="008261B1">
          <w:rPr>
            <w:noProof/>
            <w:webHidden/>
          </w:rPr>
          <w:fldChar w:fldCharType="end"/>
        </w:r>
      </w:hyperlink>
    </w:p>
    <w:p w14:paraId="21E6B30C" w14:textId="7EB08C99" w:rsidR="008261B1"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67779" w:history="1">
        <w:r w:rsidR="008261B1" w:rsidRPr="00CF2EA9">
          <w:rPr>
            <w:rStyle w:val="Hyperlink"/>
            <w:rFonts w:asciiTheme="majorHAnsi" w:hAnsiTheme="majorHAnsi" w:cstheme="majorHAnsi"/>
            <w:noProof/>
            <w:lang w:bidi="it-IT"/>
          </w:rPr>
          <w:t>Allegato 3: validazione dello strumento di autovalutazione a livello nazionale</w:t>
        </w:r>
        <w:r w:rsidR="008261B1">
          <w:rPr>
            <w:noProof/>
            <w:webHidden/>
          </w:rPr>
          <w:tab/>
        </w:r>
        <w:r w:rsidR="008261B1">
          <w:rPr>
            <w:noProof/>
            <w:webHidden/>
          </w:rPr>
          <w:fldChar w:fldCharType="begin"/>
        </w:r>
        <w:r w:rsidR="008261B1">
          <w:rPr>
            <w:noProof/>
            <w:webHidden/>
          </w:rPr>
          <w:instrText xml:space="preserve"> PAGEREF _Toc127367779 \h </w:instrText>
        </w:r>
        <w:r w:rsidR="008261B1">
          <w:rPr>
            <w:noProof/>
            <w:webHidden/>
          </w:rPr>
        </w:r>
        <w:r w:rsidR="008261B1">
          <w:rPr>
            <w:noProof/>
            <w:webHidden/>
          </w:rPr>
          <w:fldChar w:fldCharType="separate"/>
        </w:r>
        <w:r w:rsidR="00B870E1">
          <w:rPr>
            <w:noProof/>
            <w:webHidden/>
          </w:rPr>
          <w:t>29</w:t>
        </w:r>
        <w:r w:rsidR="008261B1">
          <w:rPr>
            <w:noProof/>
            <w:webHidden/>
          </w:rPr>
          <w:fldChar w:fldCharType="end"/>
        </w:r>
      </w:hyperlink>
    </w:p>
    <w:p w14:paraId="2A6FA329" w14:textId="30079645" w:rsidR="008261B1"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67780" w:history="1">
        <w:r w:rsidR="008261B1" w:rsidRPr="00CF2EA9">
          <w:rPr>
            <w:rStyle w:val="Hyperlink"/>
            <w:rFonts w:asciiTheme="majorHAnsi" w:hAnsiTheme="majorHAnsi" w:cstheme="majorHAnsi"/>
            <w:noProof/>
            <w:lang w:bidi="it-IT"/>
          </w:rPr>
          <w:t>Fonti</w:t>
        </w:r>
        <w:r w:rsidR="008261B1">
          <w:rPr>
            <w:noProof/>
            <w:webHidden/>
          </w:rPr>
          <w:tab/>
        </w:r>
        <w:r w:rsidR="008261B1">
          <w:rPr>
            <w:noProof/>
            <w:webHidden/>
          </w:rPr>
          <w:fldChar w:fldCharType="begin"/>
        </w:r>
        <w:r w:rsidR="008261B1">
          <w:rPr>
            <w:noProof/>
            <w:webHidden/>
          </w:rPr>
          <w:instrText xml:space="preserve"> PAGEREF _Toc127367780 \h </w:instrText>
        </w:r>
        <w:r w:rsidR="008261B1">
          <w:rPr>
            <w:noProof/>
            <w:webHidden/>
          </w:rPr>
        </w:r>
        <w:r w:rsidR="008261B1">
          <w:rPr>
            <w:noProof/>
            <w:webHidden/>
          </w:rPr>
          <w:fldChar w:fldCharType="separate"/>
        </w:r>
        <w:r w:rsidR="00B870E1">
          <w:rPr>
            <w:noProof/>
            <w:webHidden/>
          </w:rPr>
          <w:t>30</w:t>
        </w:r>
        <w:r w:rsidR="008261B1">
          <w:rPr>
            <w:noProof/>
            <w:webHidden/>
          </w:rPr>
          <w:fldChar w:fldCharType="end"/>
        </w:r>
      </w:hyperlink>
    </w:p>
    <w:p w14:paraId="53C33446" w14:textId="17D32088" w:rsidR="001A3B70" w:rsidRPr="008261B1" w:rsidRDefault="00D22260" w:rsidP="00591FE3">
      <w:pPr>
        <w:pStyle w:val="Agency-body-text"/>
        <w:rPr>
          <w:rFonts w:asciiTheme="majorHAnsi" w:hAnsiTheme="majorHAnsi" w:cstheme="majorHAnsi"/>
          <w:iCs/>
        </w:rPr>
      </w:pPr>
      <w:r w:rsidRPr="008261B1">
        <w:rPr>
          <w:rFonts w:asciiTheme="majorHAnsi" w:hAnsiTheme="majorHAnsi" w:cstheme="majorHAnsi"/>
          <w:i/>
          <w:lang w:bidi="it-IT"/>
        </w:rPr>
        <w:fldChar w:fldCharType="end"/>
      </w:r>
    </w:p>
    <w:p w14:paraId="02B945B0" w14:textId="77777777" w:rsidR="001A3B70" w:rsidRPr="008261B1" w:rsidRDefault="001A3B70" w:rsidP="00591FE3">
      <w:pPr>
        <w:pStyle w:val="Agency-body-text"/>
        <w:rPr>
          <w:rFonts w:asciiTheme="majorHAnsi" w:hAnsiTheme="majorHAnsi" w:cstheme="majorHAnsi"/>
          <w:iCs/>
        </w:rPr>
        <w:sectPr w:rsidR="001A3B70" w:rsidRPr="008261B1" w:rsidSect="002F469A">
          <w:type w:val="continuous"/>
          <w:pgSz w:w="11899" w:h="16838"/>
          <w:pgMar w:top="1134" w:right="1531" w:bottom="1276" w:left="1531" w:header="709" w:footer="828" w:gutter="0"/>
          <w:cols w:space="708"/>
          <w:docGrid w:linePitch="360"/>
        </w:sectPr>
      </w:pPr>
    </w:p>
    <w:p w14:paraId="18B325C4" w14:textId="77777777" w:rsidR="008B36F5" w:rsidRPr="008261B1" w:rsidRDefault="008B36F5" w:rsidP="00591FE3">
      <w:pPr>
        <w:pStyle w:val="Agency-body-text"/>
        <w:rPr>
          <w:rFonts w:asciiTheme="majorHAnsi" w:hAnsiTheme="majorHAnsi" w:cstheme="majorHAnsi"/>
        </w:rPr>
      </w:pPr>
      <w:r w:rsidRPr="008261B1">
        <w:rPr>
          <w:rFonts w:asciiTheme="majorHAnsi" w:hAnsiTheme="majorHAnsi" w:cstheme="majorHAnsi"/>
          <w:lang w:bidi="it-IT"/>
        </w:rPr>
        <w:lastRenderedPageBreak/>
        <w:br w:type="page"/>
      </w:r>
    </w:p>
    <w:p w14:paraId="0554919A" w14:textId="557171B4" w:rsidR="00B84EAB" w:rsidRPr="008261B1" w:rsidRDefault="00B84EAB" w:rsidP="00591FE3">
      <w:pPr>
        <w:pStyle w:val="Agency-heading-1"/>
        <w:rPr>
          <w:rFonts w:asciiTheme="majorHAnsi" w:hAnsiTheme="majorHAnsi" w:cstheme="majorHAnsi"/>
        </w:rPr>
      </w:pPr>
      <w:bookmarkStart w:id="0" w:name="_Toc127367761"/>
      <w:r w:rsidRPr="008261B1">
        <w:rPr>
          <w:rFonts w:asciiTheme="majorHAnsi" w:hAnsiTheme="majorHAnsi" w:cstheme="majorHAnsi"/>
          <w:lang w:bidi="it-IT"/>
        </w:rPr>
        <w:lastRenderedPageBreak/>
        <w:t>Introduzione</w:t>
      </w:r>
      <w:bookmarkEnd w:id="0"/>
    </w:p>
    <w:p w14:paraId="34354436" w14:textId="2FED5E86" w:rsidR="00AC0A3B" w:rsidRPr="008261B1" w:rsidRDefault="00AC0A3B" w:rsidP="00591FE3">
      <w:pPr>
        <w:pStyle w:val="Agency-body-text"/>
        <w:rPr>
          <w:rFonts w:asciiTheme="majorHAnsi" w:hAnsiTheme="majorHAnsi" w:cstheme="majorHAnsi"/>
        </w:rPr>
      </w:pPr>
      <w:r w:rsidRPr="008261B1">
        <w:rPr>
          <w:rFonts w:asciiTheme="majorHAnsi" w:hAnsiTheme="majorHAnsi" w:cstheme="majorHAnsi"/>
          <w:lang w:bidi="it-IT"/>
        </w:rPr>
        <w:t xml:space="preserve">Il progetto </w:t>
      </w:r>
      <w:hyperlink r:id="rId22" w:history="1">
        <w:r w:rsidRPr="008261B1">
          <w:rPr>
            <w:rStyle w:val="Hyperlink"/>
            <w:rFonts w:asciiTheme="majorHAnsi" w:hAnsiTheme="majorHAnsi" w:cstheme="majorHAnsi"/>
            <w:lang w:bidi="it-IT"/>
          </w:rPr>
          <w:t>L’evoluzione del ruolo delle prestazioni a supporto dell’educazione inclusiva</w:t>
        </w:r>
      </w:hyperlink>
      <w:r w:rsidRPr="008261B1">
        <w:rPr>
          <w:rFonts w:asciiTheme="majorHAnsi" w:hAnsiTheme="majorHAnsi" w:cstheme="majorHAnsi"/>
          <w:lang w:bidi="it-IT"/>
        </w:rPr>
        <w:t xml:space="preserve"> (CROSP), realizzato dall’Agenzia Europea per i Bisogni Educativi Speciali e l’Educazione Inclusiva (l’Agenzia), è incentrato sulla riorganizzazione delle prestazioni a sostegno del diritto all’educazione inclusiva per tutti gli studenti. L’obiettivo del progetto era individuare e analizzare le sfide e le opportunità all’interno delle politiche e delle prassi nazionali che influenzano la riorganizzazione e la riforma delle prestazioni verso un’educazione inclusiva per tutti gli studenti.</w:t>
      </w:r>
    </w:p>
    <w:p w14:paraId="16D495BA" w14:textId="5872A38B" w:rsidR="00AC0A3B" w:rsidRPr="008261B1" w:rsidRDefault="00AC0A3B" w:rsidP="00591FE3">
      <w:pPr>
        <w:pStyle w:val="Agency-body-text"/>
        <w:rPr>
          <w:rFonts w:asciiTheme="majorHAnsi" w:hAnsiTheme="majorHAnsi" w:cstheme="majorHAnsi"/>
        </w:rPr>
      </w:pPr>
      <w:r w:rsidRPr="008261B1">
        <w:rPr>
          <w:rFonts w:asciiTheme="majorHAnsi" w:hAnsiTheme="majorHAnsi" w:cstheme="majorHAnsi"/>
          <w:lang w:bidi="it-IT"/>
        </w:rPr>
        <w:t>Utilizzando un approccio di apprendimento tra pari, 18 Stati membri dell’Agenzia hanno partecipato a laboratori tematici e hanno scambiato esperienze e punti di vista sull’argomento. Dai risultati dei laboratori tematici sono emersi sei principi guida, reciprocamente complementari, che sono alla base del riorientamento del ruolo delle prestazioni a supporto dell’educazione inclusiva.</w:t>
      </w:r>
    </w:p>
    <w:p w14:paraId="58FDD457" w14:textId="6C7EDAF6" w:rsidR="00EF75CD" w:rsidRPr="008261B1" w:rsidRDefault="00AC0A3B" w:rsidP="00591FE3">
      <w:pPr>
        <w:pStyle w:val="Agency-body-text"/>
        <w:rPr>
          <w:rFonts w:asciiTheme="majorHAnsi" w:hAnsiTheme="majorHAnsi" w:cstheme="majorHAnsi"/>
        </w:rPr>
      </w:pPr>
      <w:r w:rsidRPr="008261B1">
        <w:rPr>
          <w:rFonts w:asciiTheme="majorHAnsi" w:hAnsiTheme="majorHAnsi" w:cstheme="majorHAnsi"/>
          <w:lang w:bidi="it-IT"/>
        </w:rPr>
        <w:t>Ogni principio guida è collegato a una serie di priorità e strategie politiche che i paesi hanno individuato come efficaci durante i laboratori. A sua volta, ciascuna priorità e strategia politica è suddivisa in azioni chiave, quali esempi di attuazione efficace delle relative politiche e strategie.</w:t>
      </w:r>
    </w:p>
    <w:p w14:paraId="4FEB624E" w14:textId="7BA09CB5" w:rsidR="00AC0A3B" w:rsidRPr="008261B1" w:rsidRDefault="00AC0A3B" w:rsidP="00591FE3">
      <w:pPr>
        <w:pStyle w:val="Agency-body-text"/>
        <w:rPr>
          <w:rFonts w:asciiTheme="majorHAnsi" w:hAnsiTheme="majorHAnsi" w:cstheme="majorHAnsi"/>
        </w:rPr>
      </w:pPr>
      <w:r w:rsidRPr="008261B1">
        <w:rPr>
          <w:rFonts w:asciiTheme="majorHAnsi" w:hAnsiTheme="majorHAnsi" w:cstheme="majorHAnsi"/>
          <w:lang w:bidi="it-IT"/>
        </w:rPr>
        <w:t xml:space="preserve">Tale processo di analisi è servito da base per lo sviluppo di una </w:t>
      </w:r>
      <w:r w:rsidRPr="008261B1">
        <w:rPr>
          <w:rFonts w:asciiTheme="majorHAnsi" w:hAnsiTheme="majorHAnsi" w:cstheme="majorHAnsi"/>
          <w:b/>
          <w:lang w:bidi="it-IT"/>
        </w:rPr>
        <w:t>tabella di marcia per l’evoluzione del ruolo delle prestazioni</w:t>
      </w:r>
      <w:r w:rsidRPr="008261B1">
        <w:rPr>
          <w:rFonts w:asciiTheme="majorHAnsi" w:hAnsiTheme="majorHAnsi" w:cstheme="majorHAnsi"/>
          <w:lang w:bidi="it-IT"/>
        </w:rPr>
        <w:t>. In generale, tale tabella di marcia collega i sei principi guida a 17 priorità e strategie politiche, insieme ad alcuni esempi di fasi o tappe per un’attuazione efficace (Agenzia europea, 2022).</w:t>
      </w:r>
    </w:p>
    <w:p w14:paraId="18B09ABF" w14:textId="5B661627" w:rsidR="00B84EAB" w:rsidRPr="008261B1" w:rsidRDefault="00AC0A3B" w:rsidP="00591FE3">
      <w:pPr>
        <w:pStyle w:val="Agency-body-text"/>
        <w:rPr>
          <w:rFonts w:asciiTheme="majorHAnsi" w:hAnsiTheme="majorHAnsi" w:cstheme="majorHAnsi"/>
        </w:rPr>
      </w:pPr>
      <w:r w:rsidRPr="008261B1">
        <w:rPr>
          <w:rFonts w:asciiTheme="majorHAnsi" w:hAnsiTheme="majorHAnsi" w:cstheme="majorHAnsi"/>
          <w:lang w:bidi="it-IT"/>
        </w:rPr>
        <w:t>Il presente strumento di autovalutazione CROSP include tutti i principi guida, le priorità/strategie politiche e le azioni chiave indicative sotto forma di domande autoriflessive.</w:t>
      </w:r>
    </w:p>
    <w:p w14:paraId="499839E1" w14:textId="5BEF45C6" w:rsidR="00776FBF" w:rsidRPr="008261B1" w:rsidRDefault="00776FBF" w:rsidP="00591FE3">
      <w:pPr>
        <w:pStyle w:val="Agency-heading-1"/>
        <w:rPr>
          <w:rFonts w:asciiTheme="majorHAnsi" w:hAnsiTheme="majorHAnsi" w:cstheme="majorHAnsi"/>
        </w:rPr>
      </w:pPr>
      <w:bookmarkStart w:id="1" w:name="_Toc127367762"/>
      <w:r w:rsidRPr="008261B1">
        <w:rPr>
          <w:rFonts w:asciiTheme="majorHAnsi" w:hAnsiTheme="majorHAnsi" w:cstheme="majorHAnsi"/>
          <w:lang w:bidi="it-IT"/>
        </w:rPr>
        <w:t>Scopo dello strumento</w:t>
      </w:r>
      <w:bookmarkEnd w:id="1"/>
    </w:p>
    <w:p w14:paraId="6FF14693" w14:textId="46FE1153" w:rsidR="00776FBF" w:rsidRPr="008261B1" w:rsidRDefault="00776FBF" w:rsidP="00AB47C3">
      <w:pPr>
        <w:pStyle w:val="Agency-body-text"/>
        <w:keepNext/>
        <w:rPr>
          <w:rFonts w:asciiTheme="majorHAnsi" w:hAnsiTheme="majorHAnsi" w:cstheme="majorHAnsi"/>
        </w:rPr>
      </w:pPr>
      <w:r w:rsidRPr="008261B1">
        <w:rPr>
          <w:rFonts w:asciiTheme="majorHAnsi" w:hAnsiTheme="majorHAnsi" w:cstheme="majorHAnsi"/>
          <w:lang w:bidi="it-IT"/>
        </w:rPr>
        <w:t>L’obiettivo generale dello strumento CROSP è migliorare lo sviluppo di sistemi educativi inclusivi attraverso la riorganizzazione delle prestazioni. Lo scopo è permettere una riflessione nei paesi per sviluppare una continuità flessibile del sostegno all’educazione inclusiva:</w:t>
      </w:r>
    </w:p>
    <w:p w14:paraId="162D6D71" w14:textId="77777777" w:rsidR="00776FBF" w:rsidRPr="008261B1" w:rsidRDefault="00776FBF" w:rsidP="00591FE3">
      <w:pPr>
        <w:pStyle w:val="Agency-body-text"/>
        <w:numPr>
          <w:ilvl w:val="0"/>
          <w:numId w:val="36"/>
        </w:numPr>
        <w:rPr>
          <w:rFonts w:asciiTheme="majorHAnsi" w:hAnsiTheme="majorHAnsi" w:cstheme="majorHAnsi"/>
        </w:rPr>
      </w:pPr>
      <w:r w:rsidRPr="008261B1">
        <w:rPr>
          <w:rFonts w:asciiTheme="majorHAnsi" w:hAnsiTheme="majorHAnsi" w:cstheme="majorHAnsi"/>
          <w:lang w:bidi="it-IT"/>
        </w:rPr>
        <w:t>aiutandoli a tracciare una mappa del loro percorso nell’evoluzione del ruolo delle prestazioni, attraverso domande autoriflessive approfondite;</w:t>
      </w:r>
    </w:p>
    <w:p w14:paraId="67CC3B3A" w14:textId="78B0F85C" w:rsidR="00776FBF" w:rsidRPr="008261B1" w:rsidRDefault="00776FBF" w:rsidP="00591FE3">
      <w:pPr>
        <w:pStyle w:val="Agency-body-text"/>
        <w:numPr>
          <w:ilvl w:val="0"/>
          <w:numId w:val="36"/>
        </w:numPr>
        <w:rPr>
          <w:rFonts w:asciiTheme="majorHAnsi" w:hAnsiTheme="majorHAnsi" w:cstheme="majorHAnsi"/>
        </w:rPr>
      </w:pPr>
      <w:r w:rsidRPr="008261B1">
        <w:rPr>
          <w:rFonts w:asciiTheme="majorHAnsi" w:hAnsiTheme="majorHAnsi" w:cstheme="majorHAnsi"/>
          <w:lang w:bidi="it-IT"/>
        </w:rPr>
        <w:t>individuando le fasi successive per favorire l’evoluzione del ruolo delle prestazioni.</w:t>
      </w:r>
    </w:p>
    <w:p w14:paraId="1C883D99" w14:textId="231F005A" w:rsidR="009C62BC"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t>Lo strumento è rivolto principalmente ai decisori a livello nazionale/regionale/locale e decisori e ai professionisti a livello scolastico.</w:t>
      </w:r>
    </w:p>
    <w:p w14:paraId="70C14D4E" w14:textId="21462F10" w:rsidR="00776FBF" w:rsidRPr="008261B1" w:rsidRDefault="00776FBF" w:rsidP="00591FE3">
      <w:pPr>
        <w:pStyle w:val="Agency-heading-1"/>
        <w:rPr>
          <w:rFonts w:asciiTheme="majorHAnsi" w:hAnsiTheme="majorHAnsi" w:cstheme="majorHAnsi"/>
        </w:rPr>
      </w:pPr>
      <w:bookmarkStart w:id="2" w:name="_Toc127367763"/>
      <w:r w:rsidRPr="008261B1">
        <w:rPr>
          <w:rFonts w:asciiTheme="majorHAnsi" w:hAnsiTheme="majorHAnsi" w:cstheme="majorHAnsi"/>
          <w:lang w:bidi="it-IT"/>
        </w:rPr>
        <w:lastRenderedPageBreak/>
        <w:t>Utilizzo dello strumento</w:t>
      </w:r>
      <w:bookmarkEnd w:id="2"/>
    </w:p>
    <w:p w14:paraId="42BF9C6D" w14:textId="7E4DBAFF"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t>Lo strumento è costituito da una serie di domande cui può rispondere un team multidisciplinare. Questo team può comprendere decisori provenienti da tutti i livelli dell’istruzione e/o altri stakeholder, tra cui professionisti dell’offerta educativa ordinaria e quelli delle prestazioni.</w:t>
      </w:r>
    </w:p>
    <w:p w14:paraId="4BE0DB70" w14:textId="68AAC869"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t xml:space="preserve">Lo strumento è un documento </w:t>
      </w:r>
      <w:r w:rsidRPr="008261B1">
        <w:rPr>
          <w:rFonts w:asciiTheme="majorHAnsi" w:hAnsiTheme="majorHAnsi" w:cstheme="majorHAnsi"/>
          <w:b/>
          <w:lang w:bidi="it-IT"/>
        </w:rPr>
        <w:t>open-source</w:t>
      </w:r>
      <w:r w:rsidRPr="008261B1">
        <w:rPr>
          <w:rFonts w:asciiTheme="majorHAnsi" w:hAnsiTheme="majorHAnsi" w:cstheme="majorHAnsi"/>
          <w:lang w:bidi="it-IT"/>
        </w:rPr>
        <w:t xml:space="preserve"> che sarà disponibile in tutte le lingue dell’Agenzia. I paesi sono incoraggiati a utilizzare e sviluppare lo strumento, dopo averlo convalidato e averne adattato i concetti e la terminologia ai rispettivi contesti nazionali (per maggiori dettagli, cfr. </w:t>
      </w:r>
      <w:hyperlink w:anchor="annex3" w:history="1">
        <w:r w:rsidRPr="008261B1">
          <w:rPr>
            <w:rStyle w:val="Hyperlink"/>
            <w:rFonts w:asciiTheme="majorHAnsi" w:hAnsiTheme="majorHAnsi" w:cstheme="majorHAnsi"/>
            <w:lang w:bidi="it-IT"/>
          </w:rPr>
          <w:t>allegato 3</w:t>
        </w:r>
      </w:hyperlink>
      <w:r w:rsidRPr="008261B1">
        <w:rPr>
          <w:rFonts w:asciiTheme="majorHAnsi" w:hAnsiTheme="majorHAnsi" w:cstheme="majorHAnsi"/>
          <w:lang w:bidi="it-IT"/>
        </w:rPr>
        <w:t>).</w:t>
      </w:r>
    </w:p>
    <w:p w14:paraId="57C3DB43" w14:textId="4FE73609" w:rsidR="009C62BC"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t>In base alle priorità nazionali, i paesi possono decidere di utilizzare l’intero strumento per l’autovalutazione o parti di esso (ad es. concentrandosi su domande e/o principi guida specifici).</w:t>
      </w:r>
    </w:p>
    <w:p w14:paraId="53F287CF" w14:textId="031EC639" w:rsidR="00776FBF" w:rsidRPr="008261B1" w:rsidRDefault="00776FBF" w:rsidP="00591FE3">
      <w:pPr>
        <w:pStyle w:val="Agency-body-text"/>
        <w:rPr>
          <w:rFonts w:asciiTheme="majorHAnsi" w:eastAsia="Calibri" w:hAnsiTheme="majorHAnsi" w:cstheme="majorHAnsi"/>
        </w:rPr>
      </w:pPr>
      <w:r w:rsidRPr="008261B1">
        <w:rPr>
          <w:rFonts w:asciiTheme="majorHAnsi" w:hAnsiTheme="majorHAnsi" w:cstheme="majorHAnsi"/>
          <w:lang w:bidi="it-IT"/>
        </w:rPr>
        <w:t>Lo strumento potrebbe essere diffuso ai vari stakeholder per l’utilizzo e lo scambio di opinioni. È opportuno tenere presente che alcune aree potrebbero essere più pertinenti per i decisori, mentre altre potrebbero essere più utili ai professionisti del settore. Pertanto, è possibile porre le domande più rilevanti ai rispettivi stakeholder, concentrandosi su argomenti selezionati ad ogni incontro. Gli utilizzatori dello strumento possono incontrarsi più di una volta, approfittando di queste occasioni per coltivare contatti.</w:t>
      </w:r>
    </w:p>
    <w:p w14:paraId="08437630" w14:textId="5B90AD95" w:rsidR="00776FBF" w:rsidRPr="008261B1" w:rsidRDefault="00776FBF" w:rsidP="00591FE3">
      <w:pPr>
        <w:pStyle w:val="Agency-heading-2"/>
        <w:rPr>
          <w:rFonts w:asciiTheme="majorHAnsi" w:hAnsiTheme="majorHAnsi" w:cstheme="majorHAnsi"/>
        </w:rPr>
      </w:pPr>
      <w:bookmarkStart w:id="3" w:name="_Toc127367764"/>
      <w:r w:rsidRPr="008261B1">
        <w:rPr>
          <w:rFonts w:asciiTheme="majorHAnsi" w:hAnsiTheme="majorHAnsi" w:cstheme="majorHAnsi"/>
          <w:lang w:bidi="it-IT"/>
        </w:rPr>
        <w:t>Preparazione</w:t>
      </w:r>
      <w:bookmarkEnd w:id="3"/>
    </w:p>
    <w:p w14:paraId="1F19BD98" w14:textId="66F4F021" w:rsidR="00776FBF" w:rsidRPr="008261B1" w:rsidRDefault="00776FBF" w:rsidP="00AB47C3">
      <w:pPr>
        <w:pStyle w:val="Agency-body-text"/>
        <w:keepNext/>
        <w:rPr>
          <w:rFonts w:asciiTheme="majorHAnsi" w:hAnsiTheme="majorHAnsi" w:cstheme="majorHAnsi"/>
        </w:rPr>
      </w:pPr>
      <w:r w:rsidRPr="008261B1">
        <w:rPr>
          <w:rFonts w:asciiTheme="majorHAnsi" w:hAnsiTheme="majorHAnsi" w:cstheme="majorHAnsi"/>
          <w:lang w:bidi="it-IT"/>
        </w:rPr>
        <w:t>Prima di rispondere alle domande dello strumento, occorre decidere:</w:t>
      </w:r>
    </w:p>
    <w:p w14:paraId="398B45DD" w14:textId="77777777" w:rsidR="00776FBF" w:rsidRPr="008261B1" w:rsidRDefault="00776FBF" w:rsidP="00591FE3">
      <w:pPr>
        <w:pStyle w:val="Agency-body-text"/>
        <w:numPr>
          <w:ilvl w:val="0"/>
          <w:numId w:val="38"/>
        </w:numPr>
        <w:rPr>
          <w:rFonts w:asciiTheme="majorHAnsi" w:hAnsiTheme="majorHAnsi" w:cstheme="majorHAnsi"/>
        </w:rPr>
      </w:pPr>
      <w:r w:rsidRPr="008261B1">
        <w:rPr>
          <w:rFonts w:asciiTheme="majorHAnsi" w:hAnsiTheme="majorHAnsi" w:cstheme="majorHAnsi"/>
          <w:lang w:bidi="it-IT"/>
        </w:rPr>
        <w:t>Chi parteciperà alla compilazione dello strumento?</w:t>
      </w:r>
    </w:p>
    <w:p w14:paraId="2F03FA5D" w14:textId="5DAD1F44" w:rsidR="00776FBF" w:rsidRPr="008261B1" w:rsidRDefault="00776FBF" w:rsidP="00591FE3">
      <w:pPr>
        <w:pStyle w:val="Agency-body-text"/>
        <w:numPr>
          <w:ilvl w:val="0"/>
          <w:numId w:val="38"/>
        </w:numPr>
        <w:rPr>
          <w:rFonts w:asciiTheme="majorHAnsi" w:hAnsiTheme="majorHAnsi" w:cstheme="majorHAnsi"/>
        </w:rPr>
      </w:pPr>
      <w:r w:rsidRPr="008261B1">
        <w:rPr>
          <w:rFonts w:asciiTheme="majorHAnsi" w:hAnsiTheme="majorHAnsi" w:cstheme="majorHAnsi"/>
          <w:lang w:bidi="it-IT"/>
        </w:rPr>
        <w:t>Quali informazioni aggiuntive sono necessarie?</w:t>
      </w:r>
    </w:p>
    <w:p w14:paraId="46A89BC6" w14:textId="61566E34" w:rsidR="00776FBF" w:rsidRPr="008261B1" w:rsidRDefault="00776FBF" w:rsidP="00591FE3">
      <w:pPr>
        <w:pStyle w:val="Agency-heading-2"/>
        <w:rPr>
          <w:rFonts w:asciiTheme="majorHAnsi" w:hAnsiTheme="majorHAnsi" w:cstheme="majorHAnsi"/>
        </w:rPr>
      </w:pPr>
      <w:bookmarkStart w:id="4" w:name="_Toc127367765"/>
      <w:r w:rsidRPr="008261B1">
        <w:rPr>
          <w:rFonts w:asciiTheme="majorHAnsi" w:hAnsiTheme="majorHAnsi" w:cstheme="majorHAnsi"/>
          <w:lang w:bidi="it-IT"/>
        </w:rPr>
        <w:t>Compilazione dello strumento</w:t>
      </w:r>
      <w:bookmarkEnd w:id="4"/>
    </w:p>
    <w:p w14:paraId="4D6CDA8A" w14:textId="148F31CC"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t>Lo strumento invita i partecipanti a rispondere a una serie di domande riflessive che si basano su priorità/strategie politiche specifiche, nonché sulle azioni chiave necessarie per supportare il percorso di evoluzione del ruolo delle prestazioni.</w:t>
      </w:r>
    </w:p>
    <w:p w14:paraId="6408B147" w14:textId="77777777" w:rsidR="00776FBF" w:rsidRPr="008261B1" w:rsidRDefault="00776FBF" w:rsidP="000034CB">
      <w:pPr>
        <w:pStyle w:val="Agency-body-text"/>
        <w:keepNext/>
        <w:rPr>
          <w:rFonts w:asciiTheme="majorHAnsi" w:hAnsiTheme="majorHAnsi" w:cstheme="majorHAnsi"/>
        </w:rPr>
      </w:pPr>
      <w:r w:rsidRPr="008261B1">
        <w:rPr>
          <w:rFonts w:asciiTheme="majorHAnsi" w:hAnsiTheme="majorHAnsi" w:cstheme="majorHAnsi"/>
          <w:lang w:bidi="it-IT"/>
        </w:rPr>
        <w:t>Ciascuna domanda può essere inserita in una scala di attuazione a quattro livelli:</w:t>
      </w:r>
    </w:p>
    <w:p w14:paraId="3C85E622" w14:textId="77777777" w:rsidR="00776FBF" w:rsidRPr="008261B1" w:rsidRDefault="00776FBF" w:rsidP="00591FE3">
      <w:pPr>
        <w:pStyle w:val="Agency-body-text"/>
        <w:numPr>
          <w:ilvl w:val="0"/>
          <w:numId w:val="40"/>
        </w:numPr>
        <w:rPr>
          <w:rFonts w:asciiTheme="majorHAnsi" w:hAnsiTheme="majorHAnsi" w:cstheme="majorHAnsi"/>
        </w:rPr>
      </w:pPr>
      <w:r w:rsidRPr="008261B1">
        <w:rPr>
          <w:rFonts w:asciiTheme="majorHAnsi" w:hAnsiTheme="majorHAnsi" w:cstheme="majorHAnsi"/>
          <w:b/>
          <w:lang w:bidi="it-IT"/>
        </w:rPr>
        <w:t>Non ancora</w:t>
      </w:r>
      <w:r w:rsidRPr="008261B1">
        <w:rPr>
          <w:rFonts w:asciiTheme="majorHAnsi" w:hAnsiTheme="majorHAnsi" w:cstheme="majorHAnsi"/>
          <w:lang w:bidi="it-IT"/>
        </w:rPr>
        <w:t xml:space="preserve"> - Le politiche e le azioni chiave non sono ancora state prese in considerazione</w:t>
      </w:r>
    </w:p>
    <w:p w14:paraId="77DA6B0F" w14:textId="77777777" w:rsidR="00776FBF" w:rsidRPr="008261B1" w:rsidRDefault="00776FBF" w:rsidP="00591FE3">
      <w:pPr>
        <w:pStyle w:val="Agency-body-text"/>
        <w:numPr>
          <w:ilvl w:val="0"/>
          <w:numId w:val="40"/>
        </w:numPr>
        <w:rPr>
          <w:rFonts w:asciiTheme="majorHAnsi" w:hAnsiTheme="majorHAnsi" w:cstheme="majorHAnsi"/>
        </w:rPr>
      </w:pPr>
      <w:r w:rsidRPr="008261B1">
        <w:rPr>
          <w:rFonts w:asciiTheme="majorHAnsi" w:hAnsiTheme="majorHAnsi" w:cstheme="majorHAnsi"/>
          <w:b/>
          <w:lang w:bidi="it-IT"/>
        </w:rPr>
        <w:t>In programma</w:t>
      </w:r>
      <w:r w:rsidRPr="008261B1">
        <w:rPr>
          <w:rFonts w:asciiTheme="majorHAnsi" w:hAnsiTheme="majorHAnsi" w:cstheme="majorHAnsi"/>
          <w:lang w:bidi="it-IT"/>
        </w:rPr>
        <w:t xml:space="preserve"> - Esiste un piano/idea, ma l’attuazione non è ancora iniziata</w:t>
      </w:r>
    </w:p>
    <w:p w14:paraId="114A0DF2" w14:textId="77777777" w:rsidR="00776FBF" w:rsidRPr="008261B1" w:rsidRDefault="00776FBF" w:rsidP="00591FE3">
      <w:pPr>
        <w:pStyle w:val="Agency-body-text"/>
        <w:numPr>
          <w:ilvl w:val="0"/>
          <w:numId w:val="40"/>
        </w:numPr>
        <w:rPr>
          <w:rFonts w:asciiTheme="majorHAnsi" w:hAnsiTheme="majorHAnsi" w:cstheme="majorHAnsi"/>
        </w:rPr>
      </w:pPr>
      <w:r w:rsidRPr="008261B1">
        <w:rPr>
          <w:rFonts w:asciiTheme="majorHAnsi" w:hAnsiTheme="majorHAnsi" w:cstheme="majorHAnsi"/>
          <w:b/>
          <w:lang w:bidi="it-IT"/>
        </w:rPr>
        <w:t>Parzialmente in atto</w:t>
      </w:r>
      <w:r w:rsidRPr="008261B1">
        <w:rPr>
          <w:rFonts w:asciiTheme="majorHAnsi" w:hAnsiTheme="majorHAnsi" w:cstheme="majorHAnsi"/>
          <w:lang w:bidi="it-IT"/>
        </w:rPr>
        <w:t xml:space="preserve"> - L’attuazione è iniziata, ma necessita di una maggiore copertura e di maggiore qualità</w:t>
      </w:r>
    </w:p>
    <w:p w14:paraId="6105BB2E" w14:textId="77777777" w:rsidR="00776FBF" w:rsidRPr="008261B1" w:rsidRDefault="00776FBF" w:rsidP="00591FE3">
      <w:pPr>
        <w:pStyle w:val="Agency-body-text"/>
        <w:numPr>
          <w:ilvl w:val="0"/>
          <w:numId w:val="40"/>
        </w:numPr>
        <w:rPr>
          <w:rFonts w:asciiTheme="majorHAnsi" w:hAnsiTheme="majorHAnsi" w:cstheme="majorHAnsi"/>
        </w:rPr>
      </w:pPr>
      <w:r w:rsidRPr="008261B1">
        <w:rPr>
          <w:rFonts w:asciiTheme="majorHAnsi" w:hAnsiTheme="majorHAnsi" w:cstheme="majorHAnsi"/>
          <w:b/>
          <w:lang w:bidi="it-IT"/>
        </w:rPr>
        <w:t>In atto</w:t>
      </w:r>
      <w:r w:rsidRPr="008261B1">
        <w:rPr>
          <w:rFonts w:asciiTheme="majorHAnsi" w:hAnsiTheme="majorHAnsi" w:cstheme="majorHAnsi"/>
          <w:lang w:bidi="it-IT"/>
        </w:rPr>
        <w:t xml:space="preserve"> - L’attuazione è di alta qualità, diffusa e coerente</w:t>
      </w:r>
    </w:p>
    <w:p w14:paraId="33EAAB61" w14:textId="77777777"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lastRenderedPageBreak/>
        <w:t xml:space="preserve">La colonna dei </w:t>
      </w:r>
      <w:r w:rsidRPr="008261B1">
        <w:rPr>
          <w:rFonts w:asciiTheme="majorHAnsi" w:hAnsiTheme="majorHAnsi" w:cstheme="majorHAnsi"/>
          <w:b/>
          <w:lang w:bidi="it-IT"/>
        </w:rPr>
        <w:t>Commenti</w:t>
      </w:r>
      <w:r w:rsidRPr="008261B1">
        <w:rPr>
          <w:rFonts w:asciiTheme="majorHAnsi" w:hAnsiTheme="majorHAnsi" w:cstheme="majorHAnsi"/>
          <w:lang w:bidi="it-IT"/>
        </w:rPr>
        <w:t xml:space="preserve"> è dedicata a qualsiasi commento valutativo che faccia riferimento alla qualità dell’attuazione delle politiche e delle azioni chiave o a qualsiasi altra prova disponibile (comprese le informazioni relative al monitoraggio e alla valutazione, ai dati basati su un approccio scientifico ecc.).</w:t>
      </w:r>
    </w:p>
    <w:p w14:paraId="4CBD6FA5" w14:textId="1DC21991" w:rsidR="00776FBF" w:rsidRPr="008261B1" w:rsidRDefault="00776FBF" w:rsidP="00591FE3">
      <w:pPr>
        <w:pStyle w:val="Agency-heading-2"/>
        <w:rPr>
          <w:rFonts w:asciiTheme="majorHAnsi" w:hAnsiTheme="majorHAnsi" w:cstheme="majorHAnsi"/>
        </w:rPr>
      </w:pPr>
      <w:bookmarkStart w:id="5" w:name="_Toc127367766"/>
      <w:r w:rsidRPr="008261B1">
        <w:rPr>
          <w:rFonts w:asciiTheme="majorHAnsi" w:hAnsiTheme="majorHAnsi" w:cstheme="majorHAnsi"/>
          <w:lang w:bidi="it-IT"/>
        </w:rPr>
        <w:t>Riflessione sulle risposte</w:t>
      </w:r>
      <w:bookmarkEnd w:id="5"/>
    </w:p>
    <w:p w14:paraId="29876F85" w14:textId="77777777" w:rsidR="009C62BC"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t>Dopo aver risposto collettivamente alla serie di domande, i partecipanti avviano una discussione con l’obiettivo di individuare le priorità/strategie/azioni chiave politiche necessarie che sono in atto, che potrebbero mancare e/o necessitare di miglioramenti e ulteriori sviluppi.</w:t>
      </w:r>
    </w:p>
    <w:p w14:paraId="78EAB178" w14:textId="15BDB2F7" w:rsidR="00776FBF" w:rsidRPr="008261B1" w:rsidRDefault="00776FBF" w:rsidP="00EE2C04">
      <w:pPr>
        <w:pStyle w:val="Agency-body-text"/>
        <w:keepNext/>
        <w:rPr>
          <w:rFonts w:asciiTheme="majorHAnsi" w:hAnsiTheme="majorHAnsi" w:cstheme="majorHAnsi"/>
        </w:rPr>
      </w:pPr>
      <w:r w:rsidRPr="008261B1">
        <w:rPr>
          <w:rFonts w:asciiTheme="majorHAnsi" w:hAnsiTheme="majorHAnsi" w:cstheme="majorHAnsi"/>
          <w:lang w:bidi="it-IT"/>
        </w:rPr>
        <w:t>In particolare, i partecipanti possono riflettere sulle seguenti domande per ogni principio guida:</w:t>
      </w:r>
    </w:p>
    <w:p w14:paraId="5EA7541C" w14:textId="77777777" w:rsidR="00776FBF" w:rsidRPr="008261B1" w:rsidRDefault="00776FBF" w:rsidP="00591FE3">
      <w:pPr>
        <w:pStyle w:val="Agency-body-text"/>
        <w:numPr>
          <w:ilvl w:val="0"/>
          <w:numId w:val="45"/>
        </w:numPr>
        <w:rPr>
          <w:rFonts w:asciiTheme="majorHAnsi" w:hAnsiTheme="majorHAnsi" w:cstheme="majorHAnsi"/>
        </w:rPr>
      </w:pPr>
      <w:r w:rsidRPr="008261B1">
        <w:rPr>
          <w:rFonts w:asciiTheme="majorHAnsi" w:hAnsiTheme="majorHAnsi" w:cstheme="majorHAnsi"/>
          <w:lang w:bidi="it-IT"/>
        </w:rPr>
        <w:t>A che punto siamo nel percorso verso la realizzazione di ciascun principio guida?</w:t>
      </w:r>
    </w:p>
    <w:p w14:paraId="54529867" w14:textId="77777777" w:rsidR="00776FBF" w:rsidRPr="008261B1" w:rsidRDefault="00776FBF" w:rsidP="00591FE3">
      <w:pPr>
        <w:pStyle w:val="Agency-body-text"/>
        <w:numPr>
          <w:ilvl w:val="0"/>
          <w:numId w:val="45"/>
        </w:numPr>
        <w:rPr>
          <w:rFonts w:asciiTheme="majorHAnsi" w:hAnsiTheme="majorHAnsi" w:cstheme="majorHAnsi"/>
        </w:rPr>
      </w:pPr>
      <w:r w:rsidRPr="008261B1">
        <w:rPr>
          <w:rFonts w:asciiTheme="majorHAnsi" w:hAnsiTheme="majorHAnsi" w:cstheme="majorHAnsi"/>
          <w:lang w:bidi="it-IT"/>
        </w:rPr>
        <w:t>Quali sono i nostri punti di forza a tale riguardo?</w:t>
      </w:r>
    </w:p>
    <w:p w14:paraId="7FAD8646" w14:textId="77777777" w:rsidR="00776FBF" w:rsidRPr="008261B1" w:rsidRDefault="00776FBF" w:rsidP="00591FE3">
      <w:pPr>
        <w:pStyle w:val="Agency-body-text"/>
        <w:numPr>
          <w:ilvl w:val="0"/>
          <w:numId w:val="45"/>
        </w:numPr>
        <w:rPr>
          <w:rFonts w:asciiTheme="majorHAnsi" w:hAnsiTheme="majorHAnsi" w:cstheme="majorHAnsi"/>
        </w:rPr>
      </w:pPr>
      <w:r w:rsidRPr="008261B1">
        <w:rPr>
          <w:rFonts w:asciiTheme="majorHAnsi" w:hAnsiTheme="majorHAnsi" w:cstheme="majorHAnsi"/>
          <w:lang w:bidi="it-IT"/>
        </w:rPr>
        <w:t>Quali sono le aree che dobbiamo migliorare/sviluppare ulteriormente?</w:t>
      </w:r>
    </w:p>
    <w:p w14:paraId="3F0529FC" w14:textId="77777777" w:rsidR="00776FBF" w:rsidRPr="008261B1" w:rsidRDefault="00776FBF" w:rsidP="00591FE3">
      <w:pPr>
        <w:pStyle w:val="Agency-body-text"/>
        <w:numPr>
          <w:ilvl w:val="0"/>
          <w:numId w:val="45"/>
        </w:numPr>
        <w:rPr>
          <w:rFonts w:asciiTheme="majorHAnsi" w:hAnsiTheme="majorHAnsi" w:cstheme="majorHAnsi"/>
        </w:rPr>
      </w:pPr>
      <w:r w:rsidRPr="008261B1">
        <w:rPr>
          <w:rFonts w:asciiTheme="majorHAnsi" w:hAnsiTheme="majorHAnsi" w:cstheme="majorHAnsi"/>
          <w:lang w:bidi="it-IT"/>
        </w:rPr>
        <w:t>Quali sarebbero le nostre tre priorità/prossime fasi da considerare?</w:t>
      </w:r>
    </w:p>
    <w:p w14:paraId="44287A72" w14:textId="77777777" w:rsidR="00776FBF" w:rsidRPr="008261B1" w:rsidRDefault="00776FBF" w:rsidP="00591FE3">
      <w:pPr>
        <w:pStyle w:val="Agency-body-text"/>
        <w:numPr>
          <w:ilvl w:val="0"/>
          <w:numId w:val="45"/>
        </w:numPr>
        <w:rPr>
          <w:rFonts w:asciiTheme="majorHAnsi" w:hAnsiTheme="majorHAnsi" w:cstheme="majorHAnsi"/>
        </w:rPr>
      </w:pPr>
      <w:r w:rsidRPr="008261B1">
        <w:rPr>
          <w:rFonts w:asciiTheme="majorHAnsi" w:hAnsiTheme="majorHAnsi" w:cstheme="majorHAnsi"/>
          <w:lang w:bidi="it-IT"/>
        </w:rPr>
        <w:t>Con chi dobbiamo discutere queste priorità?</w:t>
      </w:r>
    </w:p>
    <w:p w14:paraId="4F9B2B32" w14:textId="08A89B21"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t>Riflettendo su queste domande, i partecipanti possono individuare eventuali lacune e concordare determinate azioni chiave necessarie per agevolare l’attuazione dell’educazione inclusiva. Questo processo può dare il via a futuri sviluppi a livello nazionale, regionale e locale.</w:t>
      </w:r>
    </w:p>
    <w:p w14:paraId="0ED4EA0B" w14:textId="77777777" w:rsidR="00776FBF" w:rsidRPr="008261B1" w:rsidRDefault="00776FBF" w:rsidP="00591FE3">
      <w:pPr>
        <w:pStyle w:val="Agency-body-text"/>
        <w:rPr>
          <w:rFonts w:asciiTheme="majorHAnsi" w:hAnsiTheme="majorHAnsi" w:cstheme="majorHAnsi"/>
        </w:rPr>
        <w:sectPr w:rsidR="00776FBF" w:rsidRPr="008261B1" w:rsidSect="008B24CF">
          <w:headerReference w:type="even" r:id="rId23"/>
          <w:pgSz w:w="11899" w:h="16838"/>
          <w:pgMar w:top="1134" w:right="1531" w:bottom="1276" w:left="1531" w:header="709" w:footer="828" w:gutter="0"/>
          <w:cols w:space="708"/>
          <w:titlePg/>
          <w:docGrid w:linePitch="360"/>
        </w:sectPr>
      </w:pPr>
    </w:p>
    <w:p w14:paraId="19236969" w14:textId="074BA305" w:rsidR="00776FBF" w:rsidRPr="008261B1" w:rsidRDefault="00776FBF" w:rsidP="00591FE3">
      <w:pPr>
        <w:pStyle w:val="Agency-heading-1"/>
        <w:rPr>
          <w:rFonts w:asciiTheme="majorHAnsi" w:hAnsiTheme="majorHAnsi" w:cstheme="majorHAnsi"/>
        </w:rPr>
      </w:pPr>
      <w:bookmarkStart w:id="6" w:name="_Toc127367767"/>
      <w:r w:rsidRPr="008261B1">
        <w:rPr>
          <w:rFonts w:asciiTheme="majorHAnsi" w:hAnsiTheme="majorHAnsi" w:cstheme="majorHAnsi"/>
          <w:lang w:bidi="it-IT"/>
        </w:rPr>
        <w:lastRenderedPageBreak/>
        <w:t>Strumento di autovalutazione delle politiche CROSP</w:t>
      </w:r>
      <w:bookmarkEnd w:id="6"/>
    </w:p>
    <w:p w14:paraId="7E8FAA92" w14:textId="3F8ABE67" w:rsidR="00776FBF" w:rsidRPr="008261B1" w:rsidRDefault="00776FBF" w:rsidP="00591FE3">
      <w:pPr>
        <w:pStyle w:val="Agency-heading-2"/>
        <w:rPr>
          <w:rFonts w:asciiTheme="majorHAnsi" w:hAnsiTheme="majorHAnsi" w:cstheme="majorHAnsi"/>
        </w:rPr>
      </w:pPr>
      <w:bookmarkStart w:id="7" w:name="_Toc127367768"/>
      <w:r w:rsidRPr="008261B1">
        <w:rPr>
          <w:rFonts w:asciiTheme="majorHAnsi" w:hAnsiTheme="majorHAnsi" w:cstheme="majorHAnsi"/>
          <w:lang w:bidi="it-IT"/>
        </w:rPr>
        <w:t>Principio guida 1: Sviluppare un impegno condiviso per l’educazione inclusiva</w:t>
      </w:r>
      <w:bookmarkEnd w:id="7"/>
    </w:p>
    <w:p w14:paraId="688FA38A" w14:textId="216E9F12" w:rsidR="00776FBF" w:rsidRPr="008261B1" w:rsidRDefault="00776FBF" w:rsidP="00591FE3">
      <w:pPr>
        <w:pStyle w:val="Agency-heading-3"/>
        <w:rPr>
          <w:rFonts w:asciiTheme="majorHAnsi" w:hAnsiTheme="majorHAnsi" w:cstheme="majorHAnsi"/>
        </w:rPr>
      </w:pPr>
      <w:r w:rsidRPr="008261B1">
        <w:rPr>
          <w:rFonts w:asciiTheme="majorHAnsi" w:hAnsiTheme="majorHAnsi" w:cstheme="majorHAnsi"/>
          <w:lang w:bidi="it-IT"/>
        </w:rPr>
        <w:t xml:space="preserve">Priorità/strategia politica 1.1: esiste un impegno condiviso per l’educazione inclusiva sostenuto dalla volontà politica di incoraggiare </w:t>
      </w:r>
      <w:r w:rsidRPr="008261B1">
        <w:rPr>
          <w:rFonts w:asciiTheme="majorHAnsi" w:hAnsiTheme="majorHAnsi" w:cstheme="majorHAnsi"/>
          <w:i/>
          <w:lang w:bidi="it-IT"/>
        </w:rPr>
        <w:t>un’evoluzione a lungo termine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261B1" w14:paraId="756C2756" w14:textId="77777777" w:rsidTr="008B24CF">
        <w:trPr>
          <w:cantSplit/>
          <w:tblHeader/>
        </w:trPr>
        <w:tc>
          <w:tcPr>
            <w:tcW w:w="2250" w:type="pct"/>
            <w:shd w:val="clear" w:color="auto" w:fill="D9D9D9" w:themeFill="background1" w:themeFillShade="D9"/>
          </w:tcPr>
          <w:p w14:paraId="6981D2C0"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Azione chiave</w:t>
            </w:r>
          </w:p>
        </w:tc>
        <w:tc>
          <w:tcPr>
            <w:tcW w:w="500" w:type="pct"/>
            <w:shd w:val="clear" w:color="auto" w:fill="D9D9D9" w:themeFill="background1" w:themeFillShade="D9"/>
          </w:tcPr>
          <w:p w14:paraId="347F05FD"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0 – Non ancora</w:t>
            </w:r>
          </w:p>
        </w:tc>
        <w:tc>
          <w:tcPr>
            <w:tcW w:w="500" w:type="pct"/>
            <w:shd w:val="clear" w:color="auto" w:fill="D9D9D9" w:themeFill="background1" w:themeFillShade="D9"/>
          </w:tcPr>
          <w:p w14:paraId="08158684"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1 – In programma</w:t>
            </w:r>
          </w:p>
        </w:tc>
        <w:tc>
          <w:tcPr>
            <w:tcW w:w="500" w:type="pct"/>
            <w:shd w:val="clear" w:color="auto" w:fill="D9D9D9" w:themeFill="background1" w:themeFillShade="D9"/>
          </w:tcPr>
          <w:p w14:paraId="3CD633FF"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2 – Parzialmente in atto</w:t>
            </w:r>
          </w:p>
        </w:tc>
        <w:tc>
          <w:tcPr>
            <w:tcW w:w="500" w:type="pct"/>
            <w:shd w:val="clear" w:color="auto" w:fill="D9D9D9" w:themeFill="background1" w:themeFillShade="D9"/>
          </w:tcPr>
          <w:p w14:paraId="00958067"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3 – In atto</w:t>
            </w:r>
          </w:p>
        </w:tc>
        <w:tc>
          <w:tcPr>
            <w:tcW w:w="750" w:type="pct"/>
            <w:shd w:val="clear" w:color="auto" w:fill="D9D9D9" w:themeFill="background1" w:themeFillShade="D9"/>
          </w:tcPr>
          <w:p w14:paraId="026B9CD4"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Commenti</w:t>
            </w:r>
          </w:p>
        </w:tc>
      </w:tr>
      <w:tr w:rsidR="00776FBF" w:rsidRPr="008261B1" w14:paraId="534E189C" w14:textId="77777777" w:rsidTr="008B24CF">
        <w:trPr>
          <w:cantSplit/>
        </w:trPr>
        <w:tc>
          <w:tcPr>
            <w:tcW w:w="2250" w:type="pct"/>
          </w:tcPr>
          <w:p w14:paraId="512E0E08"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1.1.1</w:t>
            </w:r>
            <w:r w:rsidRPr="008261B1">
              <w:rPr>
                <w:rFonts w:asciiTheme="majorHAnsi" w:hAnsiTheme="majorHAnsi" w:cstheme="majorHAnsi"/>
                <w:sz w:val="22"/>
                <w:lang w:bidi="it-IT"/>
              </w:rPr>
              <w:t>: esistono organismi interministeriali che sostengono un cambiamento a lungo termine verso l’educazione inclusiva?</w:t>
            </w:r>
          </w:p>
        </w:tc>
        <w:tc>
          <w:tcPr>
            <w:tcW w:w="500" w:type="pct"/>
          </w:tcPr>
          <w:p w14:paraId="6EDD16E7"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32C49F7E"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3C277D1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51F7A14B"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23F39955"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6B7BFAD8" w14:textId="77777777" w:rsidTr="008B24CF">
        <w:trPr>
          <w:cantSplit/>
        </w:trPr>
        <w:tc>
          <w:tcPr>
            <w:tcW w:w="2250" w:type="pct"/>
          </w:tcPr>
          <w:p w14:paraId="7613047E"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1.1.2</w:t>
            </w:r>
            <w:r w:rsidRPr="008261B1">
              <w:rPr>
                <w:rFonts w:asciiTheme="majorHAnsi" w:hAnsiTheme="majorHAnsi" w:cstheme="majorHAnsi"/>
                <w:sz w:val="22"/>
                <w:lang w:bidi="it-IT"/>
              </w:rPr>
              <w:t>: esistono misure di governance e/o di finanziamento che incoraggiano i professionisti dell’offerta educativa ordinaria e quelli delle prestazioni a impegnarsi per un cambiamento a lungo termine?</w:t>
            </w:r>
          </w:p>
        </w:tc>
        <w:tc>
          <w:tcPr>
            <w:tcW w:w="500" w:type="pct"/>
          </w:tcPr>
          <w:p w14:paraId="52A03E39"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87FF2A3"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0F8C4091"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295BCFE"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1580063C"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355531BD" w14:textId="77777777" w:rsidTr="008B24CF">
        <w:trPr>
          <w:cantSplit/>
        </w:trPr>
        <w:tc>
          <w:tcPr>
            <w:tcW w:w="2250" w:type="pct"/>
          </w:tcPr>
          <w:p w14:paraId="0E532283"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1.1.3</w:t>
            </w:r>
            <w:r w:rsidRPr="008261B1">
              <w:rPr>
                <w:rFonts w:asciiTheme="majorHAnsi" w:hAnsiTheme="majorHAnsi" w:cstheme="majorHAnsi"/>
                <w:sz w:val="22"/>
                <w:lang w:bidi="it-IT"/>
              </w:rPr>
              <w:t>: le strutture di sostegno consentono ai professionisti delle prestazioni di assumersi la responsabilità di tutti gli studenti?</w:t>
            </w:r>
          </w:p>
        </w:tc>
        <w:tc>
          <w:tcPr>
            <w:tcW w:w="500" w:type="pct"/>
          </w:tcPr>
          <w:p w14:paraId="265FC0C0"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2725254"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36CD2C6B"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82DDEC8"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12C89DAA"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28035CC2" w14:textId="77777777" w:rsidTr="008B24CF">
        <w:trPr>
          <w:cantSplit/>
        </w:trPr>
        <w:tc>
          <w:tcPr>
            <w:tcW w:w="2250" w:type="pct"/>
          </w:tcPr>
          <w:p w14:paraId="2061F53B"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sz w:val="22"/>
                <w:lang w:bidi="it-IT"/>
              </w:rPr>
              <w:t>Altro</w:t>
            </w:r>
            <w:r w:rsidRPr="008261B1">
              <w:rPr>
                <w:rFonts w:asciiTheme="majorHAnsi" w:hAnsiTheme="majorHAnsi" w:cstheme="majorHAnsi"/>
                <w:i/>
                <w:sz w:val="22"/>
                <w:lang w:bidi="it-IT"/>
              </w:rPr>
              <w:t xml:space="preserve"> (specificare)</w:t>
            </w:r>
          </w:p>
        </w:tc>
        <w:tc>
          <w:tcPr>
            <w:tcW w:w="500" w:type="pct"/>
          </w:tcPr>
          <w:p w14:paraId="69099C8B"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30C75E9B"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B853F8A"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1E38C2A"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41850AFD" w14:textId="77777777" w:rsidR="00776FBF" w:rsidRPr="008261B1" w:rsidRDefault="00776FBF" w:rsidP="00591FE3">
            <w:pPr>
              <w:pStyle w:val="Agency-body-text"/>
              <w:rPr>
                <w:rFonts w:asciiTheme="majorHAnsi" w:hAnsiTheme="majorHAnsi" w:cstheme="majorHAnsi"/>
                <w:sz w:val="22"/>
                <w:szCs w:val="22"/>
              </w:rPr>
            </w:pPr>
          </w:p>
        </w:tc>
      </w:tr>
    </w:tbl>
    <w:p w14:paraId="240A57F1" w14:textId="7A6A96C9" w:rsidR="00776FBF" w:rsidRPr="008261B1" w:rsidRDefault="00776FBF" w:rsidP="00591FE3">
      <w:pPr>
        <w:pStyle w:val="Agency-heading-3"/>
        <w:rPr>
          <w:rFonts w:asciiTheme="majorHAnsi" w:hAnsiTheme="majorHAnsi" w:cstheme="majorHAnsi"/>
        </w:rPr>
      </w:pPr>
      <w:r w:rsidRPr="008261B1">
        <w:rPr>
          <w:rFonts w:asciiTheme="majorHAnsi" w:hAnsiTheme="majorHAnsi" w:cstheme="majorHAnsi"/>
          <w:lang w:bidi="it-IT"/>
        </w:rPr>
        <w:lastRenderedPageBreak/>
        <w:t xml:space="preserve">Priorità/strategia politica 1.2: le politiche nazionali prevedono un impegno condiviso per l’educazione inclusiva sostenuto da un </w:t>
      </w:r>
      <w:r w:rsidRPr="008261B1">
        <w:rPr>
          <w:rFonts w:asciiTheme="majorHAnsi" w:hAnsiTheme="majorHAnsi" w:cstheme="majorHAnsi"/>
          <w:i/>
          <w:lang w:bidi="it-IT"/>
        </w:rPr>
        <w:t>approccio basato sui diritti umani</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261B1" w14:paraId="2A3C0A70" w14:textId="77777777" w:rsidTr="00C01411">
        <w:trPr>
          <w:cantSplit/>
          <w:tblHeader/>
        </w:trPr>
        <w:tc>
          <w:tcPr>
            <w:tcW w:w="2250" w:type="pct"/>
            <w:shd w:val="clear" w:color="auto" w:fill="D9D9D9" w:themeFill="background1" w:themeFillShade="D9"/>
          </w:tcPr>
          <w:p w14:paraId="3BDC8DBF"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Azione chiave</w:t>
            </w:r>
          </w:p>
        </w:tc>
        <w:tc>
          <w:tcPr>
            <w:tcW w:w="500" w:type="pct"/>
            <w:shd w:val="clear" w:color="auto" w:fill="D9D9D9" w:themeFill="background1" w:themeFillShade="D9"/>
          </w:tcPr>
          <w:p w14:paraId="1736A005"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0 – Non ancora</w:t>
            </w:r>
          </w:p>
        </w:tc>
        <w:tc>
          <w:tcPr>
            <w:tcW w:w="500" w:type="pct"/>
            <w:shd w:val="clear" w:color="auto" w:fill="D9D9D9" w:themeFill="background1" w:themeFillShade="D9"/>
          </w:tcPr>
          <w:p w14:paraId="25A5AC2C"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1 – In programma</w:t>
            </w:r>
          </w:p>
        </w:tc>
        <w:tc>
          <w:tcPr>
            <w:tcW w:w="500" w:type="pct"/>
            <w:shd w:val="clear" w:color="auto" w:fill="D9D9D9" w:themeFill="background1" w:themeFillShade="D9"/>
          </w:tcPr>
          <w:p w14:paraId="5FCACAFB"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2 – Parzialmente in atto</w:t>
            </w:r>
          </w:p>
        </w:tc>
        <w:tc>
          <w:tcPr>
            <w:tcW w:w="500" w:type="pct"/>
            <w:shd w:val="clear" w:color="auto" w:fill="D9D9D9" w:themeFill="background1" w:themeFillShade="D9"/>
          </w:tcPr>
          <w:p w14:paraId="01D9E577"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3 – In atto</w:t>
            </w:r>
          </w:p>
        </w:tc>
        <w:tc>
          <w:tcPr>
            <w:tcW w:w="750" w:type="pct"/>
            <w:shd w:val="clear" w:color="auto" w:fill="D9D9D9" w:themeFill="background1" w:themeFillShade="D9"/>
          </w:tcPr>
          <w:p w14:paraId="1F44B763"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Commenti</w:t>
            </w:r>
          </w:p>
        </w:tc>
      </w:tr>
      <w:tr w:rsidR="00776FBF" w:rsidRPr="008261B1" w14:paraId="3683E2F1" w14:textId="77777777" w:rsidTr="00C01411">
        <w:trPr>
          <w:cantSplit/>
        </w:trPr>
        <w:tc>
          <w:tcPr>
            <w:tcW w:w="2250" w:type="pct"/>
          </w:tcPr>
          <w:p w14:paraId="5C694161"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1.2.1</w:t>
            </w:r>
            <w:r w:rsidRPr="008261B1">
              <w:rPr>
                <w:rFonts w:asciiTheme="majorHAnsi" w:hAnsiTheme="majorHAnsi" w:cstheme="majorHAnsi"/>
                <w:sz w:val="22"/>
                <w:lang w:bidi="it-IT"/>
              </w:rPr>
              <w:t>: esiste un impegno politico chiaro e a lungo termine a sostegno dell’approccio basato sui diritti umani nella legislazione e nella politica?</w:t>
            </w:r>
          </w:p>
        </w:tc>
        <w:tc>
          <w:tcPr>
            <w:tcW w:w="500" w:type="pct"/>
          </w:tcPr>
          <w:p w14:paraId="4CFE0625"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83EA676"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684E1B9"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52D43C6A"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331E8FEA"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2884FD38" w14:textId="77777777" w:rsidTr="00C01411">
        <w:trPr>
          <w:cantSplit/>
        </w:trPr>
        <w:tc>
          <w:tcPr>
            <w:tcW w:w="2250" w:type="pct"/>
          </w:tcPr>
          <w:p w14:paraId="7CA616B5"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1.2.2</w:t>
            </w:r>
            <w:r w:rsidRPr="008261B1">
              <w:rPr>
                <w:rFonts w:asciiTheme="majorHAnsi" w:hAnsiTheme="majorHAnsi" w:cstheme="majorHAnsi"/>
                <w:sz w:val="22"/>
                <w:lang w:bidi="it-IT"/>
              </w:rPr>
              <w:t>: in linea con l’approccio basato sui diritti umani, c’è un chiaro passaggio da un approccio medico a uno socio-pedagogico?</w:t>
            </w:r>
          </w:p>
        </w:tc>
        <w:tc>
          <w:tcPr>
            <w:tcW w:w="500" w:type="pct"/>
          </w:tcPr>
          <w:p w14:paraId="0AC211D2"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523266B3"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29AD0D1"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3849E26E"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05805D39"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35F94245" w14:textId="77777777" w:rsidTr="00C01411">
        <w:trPr>
          <w:cantSplit/>
        </w:trPr>
        <w:tc>
          <w:tcPr>
            <w:tcW w:w="2250" w:type="pct"/>
          </w:tcPr>
          <w:p w14:paraId="10F318F3"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1.2.3</w:t>
            </w:r>
            <w:r w:rsidRPr="008261B1">
              <w:rPr>
                <w:rFonts w:asciiTheme="majorHAnsi" w:hAnsiTheme="majorHAnsi" w:cstheme="majorHAnsi"/>
                <w:sz w:val="22"/>
                <w:lang w:bidi="it-IT"/>
              </w:rPr>
              <w:t>: esistono indicatori che dimostrano l’attuazione dell’approccio socio-pedagogico?</w:t>
            </w:r>
          </w:p>
        </w:tc>
        <w:tc>
          <w:tcPr>
            <w:tcW w:w="500" w:type="pct"/>
          </w:tcPr>
          <w:p w14:paraId="5910E051"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77A6C8C"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EA330FE"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59B5D1C"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744FD708"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67E64001" w14:textId="77777777" w:rsidTr="00C01411">
        <w:trPr>
          <w:cantSplit/>
        </w:trPr>
        <w:tc>
          <w:tcPr>
            <w:tcW w:w="2250" w:type="pct"/>
          </w:tcPr>
          <w:p w14:paraId="36702E5A"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sz w:val="22"/>
                <w:lang w:bidi="it-IT"/>
              </w:rPr>
              <w:t>Altro</w:t>
            </w:r>
            <w:r w:rsidRPr="008261B1">
              <w:rPr>
                <w:rFonts w:asciiTheme="majorHAnsi" w:hAnsiTheme="majorHAnsi" w:cstheme="majorHAnsi"/>
                <w:i/>
                <w:sz w:val="22"/>
                <w:lang w:bidi="it-IT"/>
              </w:rPr>
              <w:t xml:space="preserve"> (specificare)</w:t>
            </w:r>
          </w:p>
        </w:tc>
        <w:tc>
          <w:tcPr>
            <w:tcW w:w="500" w:type="pct"/>
          </w:tcPr>
          <w:p w14:paraId="08AF1202"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3F528C00"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5CD1BB75"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5116113"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36C6137C" w14:textId="77777777" w:rsidR="00776FBF" w:rsidRPr="008261B1" w:rsidRDefault="00776FBF" w:rsidP="00591FE3">
            <w:pPr>
              <w:pStyle w:val="Agency-body-text"/>
              <w:rPr>
                <w:rFonts w:asciiTheme="majorHAnsi" w:hAnsiTheme="majorHAnsi" w:cstheme="majorHAnsi"/>
                <w:sz w:val="22"/>
                <w:szCs w:val="22"/>
              </w:rPr>
            </w:pPr>
          </w:p>
        </w:tc>
      </w:tr>
    </w:tbl>
    <w:p w14:paraId="07325CE7" w14:textId="6CCDC847" w:rsidR="00776FBF" w:rsidRPr="008261B1" w:rsidRDefault="00776FBF" w:rsidP="00591FE3">
      <w:pPr>
        <w:pStyle w:val="Agency-heading-3"/>
        <w:rPr>
          <w:rFonts w:asciiTheme="majorHAnsi" w:hAnsiTheme="majorHAnsi" w:cstheme="majorHAnsi"/>
        </w:rPr>
      </w:pPr>
      <w:r w:rsidRPr="008261B1">
        <w:rPr>
          <w:rFonts w:asciiTheme="majorHAnsi" w:hAnsiTheme="majorHAnsi" w:cstheme="majorHAnsi"/>
          <w:lang w:bidi="it-IT"/>
        </w:rPr>
        <w:t xml:space="preserve">Priorità/strategia politica 1.3: sono in atto politiche e strategie che promuovono una </w:t>
      </w:r>
      <w:r w:rsidRPr="008261B1">
        <w:rPr>
          <w:rFonts w:asciiTheme="majorHAnsi" w:hAnsiTheme="majorHAnsi" w:cstheme="majorHAnsi"/>
          <w:i/>
          <w:lang w:bidi="it-IT"/>
        </w:rPr>
        <w:t>concezione comune</w:t>
      </w:r>
      <w:r w:rsidRPr="008261B1">
        <w:rPr>
          <w:rFonts w:asciiTheme="majorHAnsi" w:hAnsiTheme="majorHAnsi" w:cstheme="majorHAnsi"/>
          <w:lang w:bidi="it-IT"/>
        </w:rPr>
        <w:t xml:space="preserve"> dell’educazione inclusiva tra i settori dell’offerta educativa ordinaria e delle prestazioni</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261B1" w14:paraId="309F836D" w14:textId="77777777" w:rsidTr="00C01411">
        <w:trPr>
          <w:cantSplit/>
          <w:tblHeader/>
        </w:trPr>
        <w:tc>
          <w:tcPr>
            <w:tcW w:w="2250" w:type="pct"/>
            <w:shd w:val="clear" w:color="auto" w:fill="D9D9D9" w:themeFill="background1" w:themeFillShade="D9"/>
          </w:tcPr>
          <w:p w14:paraId="3222CB08"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Azione chiave</w:t>
            </w:r>
          </w:p>
        </w:tc>
        <w:tc>
          <w:tcPr>
            <w:tcW w:w="500" w:type="pct"/>
            <w:shd w:val="clear" w:color="auto" w:fill="D9D9D9" w:themeFill="background1" w:themeFillShade="D9"/>
          </w:tcPr>
          <w:p w14:paraId="7BD3C5D3"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0 – Non ancora</w:t>
            </w:r>
          </w:p>
        </w:tc>
        <w:tc>
          <w:tcPr>
            <w:tcW w:w="500" w:type="pct"/>
            <w:shd w:val="clear" w:color="auto" w:fill="D9D9D9" w:themeFill="background1" w:themeFillShade="D9"/>
          </w:tcPr>
          <w:p w14:paraId="06591A47"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1 – In programma</w:t>
            </w:r>
          </w:p>
        </w:tc>
        <w:tc>
          <w:tcPr>
            <w:tcW w:w="500" w:type="pct"/>
            <w:shd w:val="clear" w:color="auto" w:fill="D9D9D9" w:themeFill="background1" w:themeFillShade="D9"/>
          </w:tcPr>
          <w:p w14:paraId="2351DB8E"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2 – Parzialmente in atto</w:t>
            </w:r>
          </w:p>
        </w:tc>
        <w:tc>
          <w:tcPr>
            <w:tcW w:w="500" w:type="pct"/>
            <w:shd w:val="clear" w:color="auto" w:fill="D9D9D9" w:themeFill="background1" w:themeFillShade="D9"/>
          </w:tcPr>
          <w:p w14:paraId="16608E30"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3 – In atto</w:t>
            </w:r>
          </w:p>
        </w:tc>
        <w:tc>
          <w:tcPr>
            <w:tcW w:w="750" w:type="pct"/>
            <w:shd w:val="clear" w:color="auto" w:fill="D9D9D9" w:themeFill="background1" w:themeFillShade="D9"/>
          </w:tcPr>
          <w:p w14:paraId="113B7260"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Commenti</w:t>
            </w:r>
          </w:p>
        </w:tc>
      </w:tr>
      <w:tr w:rsidR="00776FBF" w:rsidRPr="008261B1" w14:paraId="2AF89578" w14:textId="77777777" w:rsidTr="00C01411">
        <w:trPr>
          <w:cantSplit/>
        </w:trPr>
        <w:tc>
          <w:tcPr>
            <w:tcW w:w="2250" w:type="pct"/>
          </w:tcPr>
          <w:p w14:paraId="7281A910"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1.3.1</w:t>
            </w:r>
            <w:r w:rsidRPr="008261B1">
              <w:rPr>
                <w:rFonts w:asciiTheme="majorHAnsi" w:hAnsiTheme="majorHAnsi" w:cstheme="majorHAnsi"/>
                <w:sz w:val="22"/>
                <w:lang w:bidi="it-IT"/>
              </w:rPr>
              <w:t>: sono state create delle arene di dialogo collaborativo per gli stakeholder del settore dell’offerta educativa ordinaria e di quello delle prestazioni?</w:t>
            </w:r>
          </w:p>
        </w:tc>
        <w:tc>
          <w:tcPr>
            <w:tcW w:w="500" w:type="pct"/>
          </w:tcPr>
          <w:p w14:paraId="733FBB0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EF7E5D2"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37388C1F"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0F644B38"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15A6618A"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24678BFE" w14:textId="77777777" w:rsidTr="00C01411">
        <w:trPr>
          <w:cantSplit/>
        </w:trPr>
        <w:tc>
          <w:tcPr>
            <w:tcW w:w="2250" w:type="pct"/>
          </w:tcPr>
          <w:p w14:paraId="1D8AE820"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lastRenderedPageBreak/>
              <w:t>1.3.2</w:t>
            </w:r>
            <w:r w:rsidRPr="008261B1">
              <w:rPr>
                <w:rFonts w:asciiTheme="majorHAnsi" w:hAnsiTheme="majorHAnsi" w:cstheme="majorHAnsi"/>
                <w:sz w:val="22"/>
                <w:lang w:bidi="it-IT"/>
              </w:rPr>
              <w:t>: esiste una serie di misure che permettono di sviluppare un linguaggio comune tra il settore dell’offerta educativa ordinaria e quello delle prestazioni?</w:t>
            </w:r>
          </w:p>
        </w:tc>
        <w:tc>
          <w:tcPr>
            <w:tcW w:w="500" w:type="pct"/>
          </w:tcPr>
          <w:p w14:paraId="74F7CAB2"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127FBE8"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55F7ED30"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3533896"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4AAE866B"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543BA82E" w14:textId="77777777" w:rsidTr="00C01411">
        <w:trPr>
          <w:cantSplit/>
        </w:trPr>
        <w:tc>
          <w:tcPr>
            <w:tcW w:w="2250" w:type="pct"/>
          </w:tcPr>
          <w:p w14:paraId="33724FF0"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1.3.3</w:t>
            </w:r>
            <w:r w:rsidRPr="008261B1">
              <w:rPr>
                <w:rFonts w:asciiTheme="majorHAnsi" w:hAnsiTheme="majorHAnsi" w:cstheme="majorHAnsi"/>
                <w:sz w:val="22"/>
                <w:lang w:bidi="it-IT"/>
              </w:rPr>
              <w:t>: esistono indicatori per valutare il livello di comprensione del concetto di educazione inclusiva tra i professionisti dell’offerta educativa ordinaria e delle prestazioni?</w:t>
            </w:r>
          </w:p>
        </w:tc>
        <w:tc>
          <w:tcPr>
            <w:tcW w:w="500" w:type="pct"/>
          </w:tcPr>
          <w:p w14:paraId="43717AA9"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37B8261"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445AD09"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00C1E64"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4BF6C04A"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2D2A2C3D" w14:textId="77777777" w:rsidTr="00C01411">
        <w:trPr>
          <w:cantSplit/>
        </w:trPr>
        <w:tc>
          <w:tcPr>
            <w:tcW w:w="2250" w:type="pct"/>
          </w:tcPr>
          <w:p w14:paraId="0FAFC9A0"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sz w:val="22"/>
                <w:lang w:bidi="it-IT"/>
              </w:rPr>
              <w:t>Altro</w:t>
            </w:r>
            <w:r w:rsidRPr="008261B1">
              <w:rPr>
                <w:rFonts w:asciiTheme="majorHAnsi" w:hAnsiTheme="majorHAnsi" w:cstheme="majorHAnsi"/>
                <w:i/>
                <w:sz w:val="22"/>
                <w:lang w:bidi="it-IT"/>
              </w:rPr>
              <w:t xml:space="preserve"> (specificare)</w:t>
            </w:r>
          </w:p>
        </w:tc>
        <w:tc>
          <w:tcPr>
            <w:tcW w:w="500" w:type="pct"/>
          </w:tcPr>
          <w:p w14:paraId="65D6BB97"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9E78018"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12A1CAB"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079AA105"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521FE893" w14:textId="77777777" w:rsidR="00776FBF" w:rsidRPr="008261B1" w:rsidRDefault="00776FBF" w:rsidP="00591FE3">
            <w:pPr>
              <w:pStyle w:val="Agency-body-text"/>
              <w:rPr>
                <w:rFonts w:asciiTheme="majorHAnsi" w:hAnsiTheme="majorHAnsi" w:cstheme="majorHAnsi"/>
                <w:sz w:val="22"/>
                <w:szCs w:val="22"/>
              </w:rPr>
            </w:pPr>
          </w:p>
        </w:tc>
      </w:tr>
    </w:tbl>
    <w:p w14:paraId="45EFFC06" w14:textId="17DBA046" w:rsidR="00776FBF" w:rsidRPr="008261B1" w:rsidRDefault="00776FBF" w:rsidP="00591FE3">
      <w:pPr>
        <w:pStyle w:val="Agency-heading-2"/>
        <w:rPr>
          <w:rFonts w:asciiTheme="majorHAnsi" w:eastAsiaTheme="minorHAnsi" w:hAnsiTheme="majorHAnsi" w:cstheme="majorHAnsi"/>
        </w:rPr>
      </w:pPr>
      <w:bookmarkStart w:id="8" w:name="_Toc127367769"/>
      <w:r w:rsidRPr="008261B1">
        <w:rPr>
          <w:rFonts w:asciiTheme="majorHAnsi" w:hAnsiTheme="majorHAnsi" w:cstheme="majorHAnsi"/>
          <w:lang w:bidi="it-IT"/>
        </w:rPr>
        <w:t>Principio guida 2: Promuovere lo scambio di conoscenze e l’acquisizione di competenze inclusive attraverso la cooperazione e il lavoro in rete</w:t>
      </w:r>
      <w:bookmarkEnd w:id="8"/>
    </w:p>
    <w:p w14:paraId="22A4402F" w14:textId="3327FD4A" w:rsidR="00776FBF" w:rsidRPr="008261B1" w:rsidRDefault="00776FBF" w:rsidP="00591FE3">
      <w:pPr>
        <w:pStyle w:val="Agency-heading-3"/>
        <w:rPr>
          <w:rFonts w:asciiTheme="majorHAnsi" w:hAnsiTheme="majorHAnsi" w:cstheme="majorHAnsi"/>
          <w:bCs/>
          <w:i/>
          <w:iCs/>
        </w:rPr>
      </w:pPr>
      <w:r w:rsidRPr="008261B1">
        <w:rPr>
          <w:rFonts w:asciiTheme="majorHAnsi" w:hAnsiTheme="majorHAnsi" w:cstheme="majorHAnsi"/>
          <w:lang w:bidi="it-IT"/>
        </w:rPr>
        <w:t xml:space="preserve">Priorità/strategia politica 2.1: le politiche e strategie sostengono la condivisione delle conoscenze mediante lo sviluppo di </w:t>
      </w:r>
      <w:r w:rsidRPr="008261B1">
        <w:rPr>
          <w:rFonts w:asciiTheme="majorHAnsi" w:hAnsiTheme="majorHAnsi" w:cstheme="majorHAnsi"/>
          <w:i/>
          <w:lang w:bidi="it-IT"/>
        </w:rPr>
        <w:t>comunità di apprendimento professionale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261B1" w14:paraId="60B33AF7" w14:textId="77777777" w:rsidTr="00C01411">
        <w:trPr>
          <w:cantSplit/>
          <w:tblHeader/>
        </w:trPr>
        <w:tc>
          <w:tcPr>
            <w:tcW w:w="2250" w:type="pct"/>
            <w:shd w:val="clear" w:color="auto" w:fill="D9D9D9" w:themeFill="background1" w:themeFillShade="D9"/>
          </w:tcPr>
          <w:p w14:paraId="123F01ED"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Azione chiave</w:t>
            </w:r>
          </w:p>
        </w:tc>
        <w:tc>
          <w:tcPr>
            <w:tcW w:w="500" w:type="pct"/>
            <w:shd w:val="clear" w:color="auto" w:fill="D9D9D9" w:themeFill="background1" w:themeFillShade="D9"/>
          </w:tcPr>
          <w:p w14:paraId="16399314"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0 – Non ancora</w:t>
            </w:r>
          </w:p>
        </w:tc>
        <w:tc>
          <w:tcPr>
            <w:tcW w:w="500" w:type="pct"/>
            <w:shd w:val="clear" w:color="auto" w:fill="D9D9D9" w:themeFill="background1" w:themeFillShade="D9"/>
          </w:tcPr>
          <w:p w14:paraId="39CC1FA9"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1 – In programma</w:t>
            </w:r>
          </w:p>
        </w:tc>
        <w:tc>
          <w:tcPr>
            <w:tcW w:w="500" w:type="pct"/>
            <w:shd w:val="clear" w:color="auto" w:fill="D9D9D9" w:themeFill="background1" w:themeFillShade="D9"/>
          </w:tcPr>
          <w:p w14:paraId="66E7757A"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2 – Parzialmente in atto</w:t>
            </w:r>
          </w:p>
        </w:tc>
        <w:tc>
          <w:tcPr>
            <w:tcW w:w="500" w:type="pct"/>
            <w:shd w:val="clear" w:color="auto" w:fill="D9D9D9" w:themeFill="background1" w:themeFillShade="D9"/>
          </w:tcPr>
          <w:p w14:paraId="5892B66A"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3 – In atto</w:t>
            </w:r>
          </w:p>
        </w:tc>
        <w:tc>
          <w:tcPr>
            <w:tcW w:w="750" w:type="pct"/>
            <w:shd w:val="clear" w:color="auto" w:fill="D9D9D9" w:themeFill="background1" w:themeFillShade="D9"/>
          </w:tcPr>
          <w:p w14:paraId="0F6CEC55"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Commenti</w:t>
            </w:r>
          </w:p>
        </w:tc>
      </w:tr>
      <w:tr w:rsidR="00776FBF" w:rsidRPr="008261B1" w14:paraId="00C67DC0" w14:textId="77777777" w:rsidTr="00C01411">
        <w:trPr>
          <w:cantSplit/>
        </w:trPr>
        <w:tc>
          <w:tcPr>
            <w:tcW w:w="2250" w:type="pct"/>
          </w:tcPr>
          <w:p w14:paraId="56E9F783"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2.1.1</w:t>
            </w:r>
            <w:r w:rsidRPr="008261B1">
              <w:rPr>
                <w:rFonts w:asciiTheme="majorHAnsi" w:hAnsiTheme="majorHAnsi" w:cstheme="majorHAnsi"/>
                <w:sz w:val="22"/>
                <w:lang w:bidi="it-IT"/>
              </w:rPr>
              <w:t>: esistono piattaforme di collaborazione che promuovono la cooperazione tra i professionisti dell’offerta educativa ordinaria e quelli delle prestazioni?</w:t>
            </w:r>
          </w:p>
        </w:tc>
        <w:tc>
          <w:tcPr>
            <w:tcW w:w="500" w:type="pct"/>
          </w:tcPr>
          <w:p w14:paraId="68C93800"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0A7648EC"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6D82EF1"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5E8DD001"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0171AB55"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03528B7D" w14:textId="77777777" w:rsidTr="00C01411">
        <w:trPr>
          <w:cantSplit/>
        </w:trPr>
        <w:tc>
          <w:tcPr>
            <w:tcW w:w="2250" w:type="pct"/>
          </w:tcPr>
          <w:p w14:paraId="59D2E61F"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lastRenderedPageBreak/>
              <w:t>2.1.2</w:t>
            </w:r>
            <w:r w:rsidRPr="008261B1">
              <w:rPr>
                <w:rFonts w:asciiTheme="majorHAnsi" w:hAnsiTheme="majorHAnsi" w:cstheme="majorHAnsi"/>
                <w:sz w:val="22"/>
                <w:lang w:bidi="it-IT"/>
              </w:rPr>
              <w:t>: esiste una condivisione delle conoscenze che sostiene le scuole nella creazione di ambienti di apprendimento inclusivi e di alta qualità?</w:t>
            </w:r>
          </w:p>
        </w:tc>
        <w:tc>
          <w:tcPr>
            <w:tcW w:w="500" w:type="pct"/>
          </w:tcPr>
          <w:p w14:paraId="0AD32185"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0B9A5E9"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D1EB722"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E6464E0"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5C7EB0D4"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5B6C5B1D" w14:textId="77777777" w:rsidTr="00C01411">
        <w:trPr>
          <w:cantSplit/>
        </w:trPr>
        <w:tc>
          <w:tcPr>
            <w:tcW w:w="2250" w:type="pct"/>
          </w:tcPr>
          <w:p w14:paraId="10BDDF0E" w14:textId="014D9D05"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2.1.3</w:t>
            </w:r>
            <w:r w:rsidRPr="008261B1">
              <w:rPr>
                <w:rFonts w:asciiTheme="majorHAnsi" w:hAnsiTheme="majorHAnsi" w:cstheme="majorHAnsi"/>
                <w:sz w:val="22"/>
                <w:lang w:bidi="it-IT"/>
              </w:rPr>
              <w:t>: i compiti e i ruoli di tutti gli stakeholder sono chiaramente definiti?</w:t>
            </w:r>
          </w:p>
        </w:tc>
        <w:tc>
          <w:tcPr>
            <w:tcW w:w="500" w:type="pct"/>
          </w:tcPr>
          <w:p w14:paraId="5F22C8BE"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547C1BC1"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3841A92F"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A044365"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209A52EF"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64F7BE71" w14:textId="77777777" w:rsidTr="00C01411">
        <w:trPr>
          <w:cantSplit/>
        </w:trPr>
        <w:tc>
          <w:tcPr>
            <w:tcW w:w="2250" w:type="pct"/>
          </w:tcPr>
          <w:p w14:paraId="66F03B87"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sz w:val="22"/>
                <w:lang w:bidi="it-IT"/>
              </w:rPr>
              <w:t>Altro</w:t>
            </w:r>
            <w:r w:rsidRPr="008261B1">
              <w:rPr>
                <w:rFonts w:asciiTheme="majorHAnsi" w:hAnsiTheme="majorHAnsi" w:cstheme="majorHAnsi"/>
                <w:i/>
                <w:sz w:val="22"/>
                <w:lang w:bidi="it-IT"/>
              </w:rPr>
              <w:t xml:space="preserve"> (specificare)</w:t>
            </w:r>
          </w:p>
        </w:tc>
        <w:tc>
          <w:tcPr>
            <w:tcW w:w="500" w:type="pct"/>
          </w:tcPr>
          <w:p w14:paraId="29289BA3"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5E77DC8"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CD112A8"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BC5AF4B"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59E29840" w14:textId="77777777" w:rsidR="00776FBF" w:rsidRPr="008261B1" w:rsidRDefault="00776FBF" w:rsidP="00591FE3">
            <w:pPr>
              <w:pStyle w:val="Agency-body-text"/>
              <w:rPr>
                <w:rFonts w:asciiTheme="majorHAnsi" w:hAnsiTheme="majorHAnsi" w:cstheme="majorHAnsi"/>
                <w:sz w:val="22"/>
                <w:szCs w:val="22"/>
              </w:rPr>
            </w:pPr>
          </w:p>
        </w:tc>
      </w:tr>
    </w:tbl>
    <w:p w14:paraId="0F51E42C" w14:textId="7CCF1ED5" w:rsidR="00776FBF" w:rsidRPr="008261B1" w:rsidRDefault="00776FBF" w:rsidP="00591FE3">
      <w:pPr>
        <w:pStyle w:val="Agency-heading-3"/>
        <w:rPr>
          <w:rFonts w:asciiTheme="majorHAnsi" w:hAnsiTheme="majorHAnsi" w:cstheme="majorHAnsi"/>
        </w:rPr>
      </w:pPr>
      <w:r w:rsidRPr="008261B1">
        <w:rPr>
          <w:rFonts w:asciiTheme="majorHAnsi" w:hAnsiTheme="majorHAnsi" w:cstheme="majorHAnsi"/>
          <w:lang w:bidi="it-IT"/>
        </w:rPr>
        <w:t xml:space="preserve">Priorità/strategia politica 2.2: la trasformazione delle scuole speciali in centri risorsa garantisce lo </w:t>
      </w:r>
      <w:r w:rsidRPr="008261B1">
        <w:rPr>
          <w:rFonts w:asciiTheme="majorHAnsi" w:hAnsiTheme="majorHAnsi" w:cstheme="majorHAnsi"/>
          <w:i/>
          <w:lang w:bidi="it-IT"/>
        </w:rPr>
        <w:t>scambio di conoscenze</w:t>
      </w:r>
      <w:r w:rsidRPr="008261B1">
        <w:rPr>
          <w:rFonts w:asciiTheme="majorHAnsi" w:hAnsiTheme="majorHAnsi" w:cstheme="majorHAnsi"/>
          <w:lang w:bidi="it-IT"/>
        </w:rPr>
        <w:t xml:space="preserve"> tra i professionisti del settore delle prestazioni e quelli dell’offerta educativa ordinaria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261B1" w14:paraId="0428C251" w14:textId="77777777" w:rsidTr="00C01411">
        <w:trPr>
          <w:cantSplit/>
          <w:tblHeader/>
        </w:trPr>
        <w:tc>
          <w:tcPr>
            <w:tcW w:w="2250" w:type="pct"/>
            <w:shd w:val="clear" w:color="auto" w:fill="D9D9D9" w:themeFill="background1" w:themeFillShade="D9"/>
          </w:tcPr>
          <w:p w14:paraId="53AB2DC5"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Azione chiave</w:t>
            </w:r>
          </w:p>
        </w:tc>
        <w:tc>
          <w:tcPr>
            <w:tcW w:w="500" w:type="pct"/>
            <w:shd w:val="clear" w:color="auto" w:fill="D9D9D9" w:themeFill="background1" w:themeFillShade="D9"/>
          </w:tcPr>
          <w:p w14:paraId="6907CAD6"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0 – Non ancora</w:t>
            </w:r>
          </w:p>
        </w:tc>
        <w:tc>
          <w:tcPr>
            <w:tcW w:w="500" w:type="pct"/>
            <w:shd w:val="clear" w:color="auto" w:fill="D9D9D9" w:themeFill="background1" w:themeFillShade="D9"/>
          </w:tcPr>
          <w:p w14:paraId="6AFD5FA3"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1 – In programma</w:t>
            </w:r>
          </w:p>
        </w:tc>
        <w:tc>
          <w:tcPr>
            <w:tcW w:w="500" w:type="pct"/>
            <w:shd w:val="clear" w:color="auto" w:fill="D9D9D9" w:themeFill="background1" w:themeFillShade="D9"/>
          </w:tcPr>
          <w:p w14:paraId="154ADFA3"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2 – Parzialmente in atto</w:t>
            </w:r>
          </w:p>
        </w:tc>
        <w:tc>
          <w:tcPr>
            <w:tcW w:w="500" w:type="pct"/>
            <w:shd w:val="clear" w:color="auto" w:fill="D9D9D9" w:themeFill="background1" w:themeFillShade="D9"/>
          </w:tcPr>
          <w:p w14:paraId="74722795"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3 – In atto</w:t>
            </w:r>
          </w:p>
        </w:tc>
        <w:tc>
          <w:tcPr>
            <w:tcW w:w="750" w:type="pct"/>
            <w:shd w:val="clear" w:color="auto" w:fill="D9D9D9" w:themeFill="background1" w:themeFillShade="D9"/>
          </w:tcPr>
          <w:p w14:paraId="5A65883F"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Commenti</w:t>
            </w:r>
          </w:p>
        </w:tc>
      </w:tr>
      <w:tr w:rsidR="00776FBF" w:rsidRPr="008261B1" w14:paraId="5274066E" w14:textId="77777777" w:rsidTr="00C01411">
        <w:trPr>
          <w:cantSplit/>
        </w:trPr>
        <w:tc>
          <w:tcPr>
            <w:tcW w:w="2250" w:type="pct"/>
          </w:tcPr>
          <w:p w14:paraId="2AB34058"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2.2.1</w:t>
            </w:r>
            <w:r w:rsidRPr="008261B1">
              <w:rPr>
                <w:rFonts w:asciiTheme="majorHAnsi" w:hAnsiTheme="majorHAnsi" w:cstheme="majorHAnsi"/>
                <w:sz w:val="22"/>
                <w:lang w:bidi="it-IT"/>
              </w:rPr>
              <w:t>: esistono misure che incoraggiano i professionisti del settore delle prestazioni a condividere le loro conoscenze e competenze nei contesti dell’offerta educativa ordinaria?</w:t>
            </w:r>
          </w:p>
        </w:tc>
        <w:tc>
          <w:tcPr>
            <w:tcW w:w="500" w:type="pct"/>
          </w:tcPr>
          <w:p w14:paraId="39B83C2C"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BE93368"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C660B4C"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1CC5FD1"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38849C7C"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0F17DACE" w14:textId="77777777" w:rsidTr="00C01411">
        <w:trPr>
          <w:cantSplit/>
        </w:trPr>
        <w:tc>
          <w:tcPr>
            <w:tcW w:w="2250" w:type="pct"/>
          </w:tcPr>
          <w:p w14:paraId="48278B71" w14:textId="77777777" w:rsidR="00776FBF" w:rsidRPr="008261B1" w:rsidRDefault="00776FBF" w:rsidP="00591FE3">
            <w:pPr>
              <w:pStyle w:val="Agency-body-text"/>
              <w:rPr>
                <w:rFonts w:asciiTheme="majorHAnsi" w:hAnsiTheme="majorHAnsi" w:cstheme="majorHAnsi"/>
                <w:bCs/>
                <w:sz w:val="22"/>
                <w:szCs w:val="22"/>
              </w:rPr>
            </w:pPr>
            <w:r w:rsidRPr="008261B1">
              <w:rPr>
                <w:rFonts w:asciiTheme="majorHAnsi" w:hAnsiTheme="majorHAnsi" w:cstheme="majorHAnsi"/>
                <w:b/>
                <w:sz w:val="22"/>
                <w:lang w:bidi="it-IT"/>
              </w:rPr>
              <w:t>2.2.2</w:t>
            </w:r>
            <w:r w:rsidRPr="008261B1">
              <w:rPr>
                <w:rFonts w:asciiTheme="majorHAnsi" w:hAnsiTheme="majorHAnsi" w:cstheme="majorHAnsi"/>
                <w:sz w:val="22"/>
                <w:lang w:bidi="it-IT"/>
              </w:rPr>
              <w:t>: esistono indicatori per valutare la portata di questo trasferimento di conoscenze e competenze?</w:t>
            </w:r>
          </w:p>
        </w:tc>
        <w:tc>
          <w:tcPr>
            <w:tcW w:w="500" w:type="pct"/>
          </w:tcPr>
          <w:p w14:paraId="301D53F4"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02A92A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C49EB4A"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AD433DA"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29D5EDFD"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746CF927" w14:textId="77777777" w:rsidTr="00C01411">
        <w:trPr>
          <w:cantSplit/>
        </w:trPr>
        <w:tc>
          <w:tcPr>
            <w:tcW w:w="2250" w:type="pct"/>
          </w:tcPr>
          <w:p w14:paraId="2131C6C9" w14:textId="77777777" w:rsidR="00776FBF" w:rsidRPr="008261B1" w:rsidRDefault="00776FBF" w:rsidP="00591FE3">
            <w:pPr>
              <w:pStyle w:val="Agency-body-text"/>
              <w:rPr>
                <w:rFonts w:asciiTheme="majorHAnsi" w:hAnsiTheme="majorHAnsi" w:cstheme="majorHAnsi"/>
                <w:bCs/>
                <w:sz w:val="22"/>
                <w:szCs w:val="22"/>
              </w:rPr>
            </w:pPr>
            <w:r w:rsidRPr="008261B1">
              <w:rPr>
                <w:rFonts w:asciiTheme="majorHAnsi" w:hAnsiTheme="majorHAnsi" w:cstheme="majorHAnsi"/>
                <w:b/>
                <w:sz w:val="22"/>
                <w:lang w:bidi="it-IT"/>
              </w:rPr>
              <w:t>2.2.3</w:t>
            </w:r>
            <w:r w:rsidRPr="008261B1">
              <w:rPr>
                <w:rFonts w:asciiTheme="majorHAnsi" w:hAnsiTheme="majorHAnsi" w:cstheme="majorHAnsi"/>
                <w:sz w:val="22"/>
                <w:lang w:bidi="it-IT"/>
              </w:rPr>
              <w:t>: esistono misure di finanziamento e di governance per garantire una chiara definizione dei compiti e dei ruoli di tutti gli stakeholder?</w:t>
            </w:r>
          </w:p>
        </w:tc>
        <w:tc>
          <w:tcPr>
            <w:tcW w:w="500" w:type="pct"/>
          </w:tcPr>
          <w:p w14:paraId="0DA3DE78"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29A6614"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584AE7DA"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CAD8730"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382812FB"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023032A0" w14:textId="77777777" w:rsidTr="00C01411">
        <w:trPr>
          <w:cantSplit/>
        </w:trPr>
        <w:tc>
          <w:tcPr>
            <w:tcW w:w="2250" w:type="pct"/>
          </w:tcPr>
          <w:p w14:paraId="139F426F"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sz w:val="22"/>
                <w:lang w:bidi="it-IT"/>
              </w:rPr>
              <w:t>Altro</w:t>
            </w:r>
            <w:r w:rsidRPr="008261B1">
              <w:rPr>
                <w:rFonts w:asciiTheme="majorHAnsi" w:hAnsiTheme="majorHAnsi" w:cstheme="majorHAnsi"/>
                <w:i/>
                <w:sz w:val="22"/>
                <w:lang w:bidi="it-IT"/>
              </w:rPr>
              <w:t xml:space="preserve"> (specificare)</w:t>
            </w:r>
          </w:p>
        </w:tc>
        <w:tc>
          <w:tcPr>
            <w:tcW w:w="500" w:type="pct"/>
          </w:tcPr>
          <w:p w14:paraId="5FC45A23"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0AC2EB4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2C9A2B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3C752E96"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76890921" w14:textId="77777777" w:rsidR="00776FBF" w:rsidRPr="008261B1" w:rsidRDefault="00776FBF" w:rsidP="00591FE3">
            <w:pPr>
              <w:pStyle w:val="Agency-body-text"/>
              <w:rPr>
                <w:rFonts w:asciiTheme="majorHAnsi" w:hAnsiTheme="majorHAnsi" w:cstheme="majorHAnsi"/>
                <w:sz w:val="22"/>
                <w:szCs w:val="22"/>
              </w:rPr>
            </w:pPr>
          </w:p>
        </w:tc>
      </w:tr>
    </w:tbl>
    <w:p w14:paraId="0E12CC84" w14:textId="3645B0D7" w:rsidR="00776FBF" w:rsidRPr="008261B1" w:rsidRDefault="00776FBF" w:rsidP="00591FE3">
      <w:pPr>
        <w:pStyle w:val="Agency-heading-3"/>
        <w:rPr>
          <w:rFonts w:asciiTheme="majorHAnsi" w:hAnsiTheme="majorHAnsi" w:cstheme="majorHAnsi"/>
        </w:rPr>
      </w:pPr>
      <w:r w:rsidRPr="008261B1">
        <w:rPr>
          <w:rFonts w:asciiTheme="majorHAnsi" w:hAnsiTheme="majorHAnsi" w:cstheme="majorHAnsi"/>
          <w:lang w:bidi="it-IT"/>
        </w:rPr>
        <w:lastRenderedPageBreak/>
        <w:t xml:space="preserve">Priorità/strategia politica 2.3: </w:t>
      </w:r>
      <w:r w:rsidRPr="008261B1">
        <w:rPr>
          <w:rFonts w:asciiTheme="majorHAnsi" w:hAnsiTheme="majorHAnsi" w:cstheme="majorHAnsi"/>
          <w:i/>
          <w:lang w:bidi="it-IT"/>
        </w:rPr>
        <w:t>l’offerta di continuità flessibile del sostegno</w:t>
      </w:r>
      <w:r w:rsidRPr="008261B1">
        <w:rPr>
          <w:rFonts w:asciiTheme="majorHAnsi" w:hAnsiTheme="majorHAnsi" w:cstheme="majorHAnsi"/>
          <w:lang w:bidi="it-IT"/>
        </w:rPr>
        <w:t xml:space="preserve"> da parte dei professionisti permette ai professionisti dell’offerta educativa ordinaria, alle famiglie e agli studenti di acquisire competenze inclusive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261B1" w14:paraId="2B1AD506" w14:textId="77777777" w:rsidTr="00C01411">
        <w:trPr>
          <w:cantSplit/>
          <w:tblHeader/>
        </w:trPr>
        <w:tc>
          <w:tcPr>
            <w:tcW w:w="2250" w:type="pct"/>
            <w:shd w:val="clear" w:color="auto" w:fill="D9D9D9" w:themeFill="background1" w:themeFillShade="D9"/>
          </w:tcPr>
          <w:p w14:paraId="023C93C4"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Azione chiave</w:t>
            </w:r>
          </w:p>
        </w:tc>
        <w:tc>
          <w:tcPr>
            <w:tcW w:w="500" w:type="pct"/>
            <w:shd w:val="clear" w:color="auto" w:fill="D9D9D9" w:themeFill="background1" w:themeFillShade="D9"/>
          </w:tcPr>
          <w:p w14:paraId="68FD65F8"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0 – Non ancora</w:t>
            </w:r>
          </w:p>
        </w:tc>
        <w:tc>
          <w:tcPr>
            <w:tcW w:w="500" w:type="pct"/>
            <w:shd w:val="clear" w:color="auto" w:fill="D9D9D9" w:themeFill="background1" w:themeFillShade="D9"/>
          </w:tcPr>
          <w:p w14:paraId="5C3DDBE5"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1 – In programma</w:t>
            </w:r>
          </w:p>
        </w:tc>
        <w:tc>
          <w:tcPr>
            <w:tcW w:w="500" w:type="pct"/>
            <w:shd w:val="clear" w:color="auto" w:fill="D9D9D9" w:themeFill="background1" w:themeFillShade="D9"/>
          </w:tcPr>
          <w:p w14:paraId="4C29DA40"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2 – Parzialmente in atto</w:t>
            </w:r>
          </w:p>
        </w:tc>
        <w:tc>
          <w:tcPr>
            <w:tcW w:w="500" w:type="pct"/>
            <w:shd w:val="clear" w:color="auto" w:fill="D9D9D9" w:themeFill="background1" w:themeFillShade="D9"/>
          </w:tcPr>
          <w:p w14:paraId="7CA69EF7"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3 – In atto</w:t>
            </w:r>
          </w:p>
        </w:tc>
        <w:tc>
          <w:tcPr>
            <w:tcW w:w="750" w:type="pct"/>
            <w:shd w:val="clear" w:color="auto" w:fill="D9D9D9" w:themeFill="background1" w:themeFillShade="D9"/>
          </w:tcPr>
          <w:p w14:paraId="1F2D6224"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Commenti</w:t>
            </w:r>
          </w:p>
        </w:tc>
      </w:tr>
      <w:tr w:rsidR="00776FBF" w:rsidRPr="008261B1" w14:paraId="05655DB0" w14:textId="77777777" w:rsidTr="00C01411">
        <w:trPr>
          <w:cantSplit/>
        </w:trPr>
        <w:tc>
          <w:tcPr>
            <w:tcW w:w="2250" w:type="pct"/>
          </w:tcPr>
          <w:p w14:paraId="3F6B07C5"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2.3.1</w:t>
            </w:r>
            <w:r w:rsidRPr="008261B1">
              <w:rPr>
                <w:rFonts w:asciiTheme="majorHAnsi" w:hAnsiTheme="majorHAnsi" w:cstheme="majorHAnsi"/>
                <w:sz w:val="22"/>
                <w:lang w:bidi="it-IT"/>
              </w:rPr>
              <w:t>: esistono misure per garantire una continuità flessibile del sostegno?</w:t>
            </w:r>
          </w:p>
        </w:tc>
        <w:tc>
          <w:tcPr>
            <w:tcW w:w="500" w:type="pct"/>
          </w:tcPr>
          <w:p w14:paraId="0815DA13"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95BC5A5"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0BA345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277C36D"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27911F2A"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625E8A25" w14:textId="77777777" w:rsidTr="00C01411">
        <w:trPr>
          <w:cantSplit/>
        </w:trPr>
        <w:tc>
          <w:tcPr>
            <w:tcW w:w="2250" w:type="pct"/>
          </w:tcPr>
          <w:p w14:paraId="1CC7CABC"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2.3.2</w:t>
            </w:r>
            <w:r w:rsidRPr="008261B1">
              <w:rPr>
                <w:rFonts w:asciiTheme="majorHAnsi" w:hAnsiTheme="majorHAnsi" w:cstheme="majorHAnsi"/>
                <w:sz w:val="22"/>
                <w:lang w:bidi="it-IT"/>
              </w:rPr>
              <w:t>: esistono alternative e opportunità di sostegno per i professionisti dell’offerta educativa ordinaria, le famiglie e gli studenti?</w:t>
            </w:r>
          </w:p>
        </w:tc>
        <w:tc>
          <w:tcPr>
            <w:tcW w:w="500" w:type="pct"/>
          </w:tcPr>
          <w:p w14:paraId="37B93EB4"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58A73FE7"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34B69D2"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F275C28"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44072D38"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36328CA4" w14:textId="77777777" w:rsidTr="00C01411">
        <w:trPr>
          <w:cantSplit/>
        </w:trPr>
        <w:tc>
          <w:tcPr>
            <w:tcW w:w="2250" w:type="pct"/>
          </w:tcPr>
          <w:p w14:paraId="5FE68E3F"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2.3.3</w:t>
            </w:r>
            <w:r w:rsidRPr="008261B1">
              <w:rPr>
                <w:rFonts w:asciiTheme="majorHAnsi" w:hAnsiTheme="majorHAnsi" w:cstheme="majorHAnsi"/>
                <w:sz w:val="22"/>
                <w:lang w:bidi="it-IT"/>
              </w:rPr>
              <w:t>: esistono indicatori per valutare la qualità della continuità flessibile del sostegno fornita?</w:t>
            </w:r>
          </w:p>
        </w:tc>
        <w:tc>
          <w:tcPr>
            <w:tcW w:w="500" w:type="pct"/>
          </w:tcPr>
          <w:p w14:paraId="2AEBFAC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3A01643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26F42D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164F5CB"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793660F5"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1EC731E8" w14:textId="77777777" w:rsidTr="00C01411">
        <w:trPr>
          <w:cantSplit/>
        </w:trPr>
        <w:tc>
          <w:tcPr>
            <w:tcW w:w="2250" w:type="pct"/>
          </w:tcPr>
          <w:p w14:paraId="4C4A504F"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sz w:val="22"/>
                <w:lang w:bidi="it-IT"/>
              </w:rPr>
              <w:t>Altro</w:t>
            </w:r>
            <w:r w:rsidRPr="008261B1">
              <w:rPr>
                <w:rFonts w:asciiTheme="majorHAnsi" w:hAnsiTheme="majorHAnsi" w:cstheme="majorHAnsi"/>
                <w:i/>
                <w:sz w:val="22"/>
                <w:lang w:bidi="it-IT"/>
              </w:rPr>
              <w:t xml:space="preserve"> (specificare)</w:t>
            </w:r>
          </w:p>
        </w:tc>
        <w:tc>
          <w:tcPr>
            <w:tcW w:w="500" w:type="pct"/>
          </w:tcPr>
          <w:p w14:paraId="59F7D3A5"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37F3ED4"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39A1559"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931B201"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22868C75" w14:textId="77777777" w:rsidR="00776FBF" w:rsidRPr="008261B1" w:rsidRDefault="00776FBF" w:rsidP="00591FE3">
            <w:pPr>
              <w:pStyle w:val="Agency-body-text"/>
              <w:rPr>
                <w:rFonts w:asciiTheme="majorHAnsi" w:hAnsiTheme="majorHAnsi" w:cstheme="majorHAnsi"/>
                <w:sz w:val="22"/>
                <w:szCs w:val="22"/>
              </w:rPr>
            </w:pPr>
          </w:p>
        </w:tc>
      </w:tr>
    </w:tbl>
    <w:p w14:paraId="5AD25D1B" w14:textId="297B2A3A" w:rsidR="00776FBF" w:rsidRPr="008261B1" w:rsidRDefault="00776FBF" w:rsidP="00591FE3">
      <w:pPr>
        <w:pStyle w:val="Agency-heading-2"/>
        <w:rPr>
          <w:rFonts w:asciiTheme="majorHAnsi" w:hAnsiTheme="majorHAnsi" w:cstheme="majorHAnsi"/>
        </w:rPr>
      </w:pPr>
      <w:bookmarkStart w:id="9" w:name="_Toc127367770"/>
      <w:r w:rsidRPr="008261B1">
        <w:rPr>
          <w:rFonts w:asciiTheme="majorHAnsi" w:hAnsiTheme="majorHAnsi" w:cstheme="majorHAnsi"/>
          <w:lang w:bidi="it-IT"/>
        </w:rPr>
        <w:t>Principio guida 3: Fornire aggiornamento professionale continuo sull’inclusione</w:t>
      </w:r>
      <w:bookmarkEnd w:id="9"/>
    </w:p>
    <w:p w14:paraId="534ACE1E" w14:textId="0B71EA9C" w:rsidR="00776FBF" w:rsidRPr="008261B1" w:rsidRDefault="00776FBF" w:rsidP="00591FE3">
      <w:pPr>
        <w:pStyle w:val="Agency-heading-3"/>
        <w:rPr>
          <w:rFonts w:asciiTheme="majorHAnsi" w:hAnsiTheme="majorHAnsi" w:cstheme="majorHAnsi"/>
        </w:rPr>
      </w:pPr>
      <w:r w:rsidRPr="008261B1">
        <w:rPr>
          <w:rFonts w:asciiTheme="majorHAnsi" w:hAnsiTheme="majorHAnsi" w:cstheme="majorHAnsi"/>
          <w:lang w:bidi="it-IT"/>
        </w:rPr>
        <w:t xml:space="preserve">Priorità/strategia politica 3.1: le opportunità di aggiornamento professionale favoriscono un </w:t>
      </w:r>
      <w:r w:rsidRPr="008261B1">
        <w:rPr>
          <w:rFonts w:asciiTheme="majorHAnsi" w:hAnsiTheme="majorHAnsi" w:cstheme="majorHAnsi"/>
          <w:i/>
          <w:lang w:bidi="it-IT"/>
        </w:rPr>
        <w:t>linguaggio comune</w:t>
      </w:r>
      <w:r w:rsidRPr="008261B1">
        <w:rPr>
          <w:rFonts w:asciiTheme="majorHAnsi" w:hAnsiTheme="majorHAnsi" w:cstheme="majorHAnsi"/>
          <w:lang w:bidi="it-IT"/>
        </w:rPr>
        <w:t xml:space="preserve"> sull’inclusione per tutti gli studenti</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261B1" w14:paraId="504E4618" w14:textId="77777777" w:rsidTr="00C01411">
        <w:trPr>
          <w:cantSplit/>
          <w:tblHeader/>
        </w:trPr>
        <w:tc>
          <w:tcPr>
            <w:tcW w:w="2250" w:type="pct"/>
            <w:shd w:val="clear" w:color="auto" w:fill="D9D9D9" w:themeFill="background1" w:themeFillShade="D9"/>
          </w:tcPr>
          <w:p w14:paraId="77D231A8"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Azione chiave</w:t>
            </w:r>
          </w:p>
        </w:tc>
        <w:tc>
          <w:tcPr>
            <w:tcW w:w="500" w:type="pct"/>
            <w:shd w:val="clear" w:color="auto" w:fill="D9D9D9" w:themeFill="background1" w:themeFillShade="D9"/>
          </w:tcPr>
          <w:p w14:paraId="55C7F54A"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0 – Non ancora</w:t>
            </w:r>
          </w:p>
        </w:tc>
        <w:tc>
          <w:tcPr>
            <w:tcW w:w="500" w:type="pct"/>
            <w:shd w:val="clear" w:color="auto" w:fill="D9D9D9" w:themeFill="background1" w:themeFillShade="D9"/>
          </w:tcPr>
          <w:p w14:paraId="7319EA14"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1 – In programma</w:t>
            </w:r>
          </w:p>
        </w:tc>
        <w:tc>
          <w:tcPr>
            <w:tcW w:w="500" w:type="pct"/>
            <w:shd w:val="clear" w:color="auto" w:fill="D9D9D9" w:themeFill="background1" w:themeFillShade="D9"/>
          </w:tcPr>
          <w:p w14:paraId="4435E512"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2 – Parzialmente in atto</w:t>
            </w:r>
          </w:p>
        </w:tc>
        <w:tc>
          <w:tcPr>
            <w:tcW w:w="500" w:type="pct"/>
            <w:shd w:val="clear" w:color="auto" w:fill="D9D9D9" w:themeFill="background1" w:themeFillShade="D9"/>
          </w:tcPr>
          <w:p w14:paraId="62A1BB47"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3 – In atto</w:t>
            </w:r>
          </w:p>
        </w:tc>
        <w:tc>
          <w:tcPr>
            <w:tcW w:w="750" w:type="pct"/>
            <w:shd w:val="clear" w:color="auto" w:fill="D9D9D9" w:themeFill="background1" w:themeFillShade="D9"/>
          </w:tcPr>
          <w:p w14:paraId="719A8787"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Commenti</w:t>
            </w:r>
          </w:p>
        </w:tc>
      </w:tr>
      <w:tr w:rsidR="00776FBF" w:rsidRPr="008261B1" w14:paraId="36D0D7D4" w14:textId="77777777" w:rsidTr="00C01411">
        <w:trPr>
          <w:cantSplit/>
        </w:trPr>
        <w:tc>
          <w:tcPr>
            <w:tcW w:w="2250" w:type="pct"/>
          </w:tcPr>
          <w:p w14:paraId="65E3F0E4" w14:textId="027CA73D"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3.1.1</w:t>
            </w:r>
            <w:r w:rsidRPr="008261B1">
              <w:rPr>
                <w:rFonts w:asciiTheme="majorHAnsi" w:hAnsiTheme="majorHAnsi" w:cstheme="majorHAnsi"/>
                <w:sz w:val="22"/>
                <w:lang w:bidi="it-IT"/>
              </w:rPr>
              <w:t>: i concetti e i principi chiave dell’inclusione sono integrati nelle opportunità di aggiornamento professionale continuo?</w:t>
            </w:r>
          </w:p>
        </w:tc>
        <w:tc>
          <w:tcPr>
            <w:tcW w:w="500" w:type="pct"/>
          </w:tcPr>
          <w:p w14:paraId="749D436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50309C51"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3E9A2AB"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51272C1"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0FC9410A"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069876C9" w14:textId="77777777" w:rsidTr="00C01411">
        <w:trPr>
          <w:cantSplit/>
        </w:trPr>
        <w:tc>
          <w:tcPr>
            <w:tcW w:w="2250" w:type="pct"/>
          </w:tcPr>
          <w:p w14:paraId="04F4A687" w14:textId="77777777" w:rsidR="00776FBF" w:rsidRPr="008261B1" w:rsidRDefault="00776FBF" w:rsidP="00591FE3">
            <w:pPr>
              <w:rPr>
                <w:rFonts w:asciiTheme="majorHAnsi" w:hAnsiTheme="majorHAnsi" w:cstheme="majorHAnsi"/>
                <w:sz w:val="22"/>
                <w:szCs w:val="22"/>
                <w:lang w:eastAsia="en-GB"/>
              </w:rPr>
            </w:pPr>
            <w:r w:rsidRPr="008261B1">
              <w:rPr>
                <w:rFonts w:asciiTheme="majorHAnsi" w:hAnsiTheme="majorHAnsi" w:cstheme="majorHAnsi"/>
                <w:b/>
                <w:sz w:val="22"/>
                <w:lang w:bidi="it-IT"/>
              </w:rPr>
              <w:lastRenderedPageBreak/>
              <w:t>3.1.2</w:t>
            </w:r>
            <w:r w:rsidRPr="008261B1">
              <w:rPr>
                <w:rFonts w:asciiTheme="majorHAnsi" w:hAnsiTheme="majorHAnsi" w:cstheme="majorHAnsi"/>
                <w:sz w:val="22"/>
                <w:lang w:bidi="it-IT"/>
              </w:rPr>
              <w:t xml:space="preserve">: </w:t>
            </w:r>
            <w:r w:rsidRPr="008261B1">
              <w:rPr>
                <w:rStyle w:val="Agency-body-textChar"/>
                <w:rFonts w:asciiTheme="majorHAnsi" w:hAnsiTheme="majorHAnsi" w:cstheme="majorHAnsi"/>
                <w:sz w:val="22"/>
                <w:lang w:bidi="it-IT"/>
              </w:rPr>
              <w:t>esistono misure per garantire opportunità congiunte di formazione/corsi rivolti ai professionisti dell’offerta educativa ordinaria e delle prestazioni?</w:t>
            </w:r>
          </w:p>
        </w:tc>
        <w:tc>
          <w:tcPr>
            <w:tcW w:w="500" w:type="pct"/>
          </w:tcPr>
          <w:p w14:paraId="38A53999"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359F7108"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0C02090"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5AE1A4B"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23336AE4"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0586CAD0" w14:textId="77777777" w:rsidTr="00C01411">
        <w:trPr>
          <w:cantSplit/>
        </w:trPr>
        <w:tc>
          <w:tcPr>
            <w:tcW w:w="2250" w:type="pct"/>
          </w:tcPr>
          <w:p w14:paraId="2211BB36" w14:textId="41205BCF"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3.1.3</w:t>
            </w:r>
            <w:r w:rsidRPr="008261B1">
              <w:rPr>
                <w:rFonts w:asciiTheme="majorHAnsi" w:hAnsiTheme="majorHAnsi" w:cstheme="majorHAnsi"/>
                <w:sz w:val="22"/>
                <w:lang w:bidi="it-IT"/>
              </w:rPr>
              <w:t>: esistono misure che garantiscono che le opportunità di aggiornamento professionale includano contributi ed esperienze di professionisti che hanno a che fare con studenti diversi?</w:t>
            </w:r>
          </w:p>
        </w:tc>
        <w:tc>
          <w:tcPr>
            <w:tcW w:w="500" w:type="pct"/>
          </w:tcPr>
          <w:p w14:paraId="1D47D751"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81C09F4"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6B6B314"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A00CD25"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0BCAFE34"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58DB6281" w14:textId="77777777" w:rsidTr="00C01411">
        <w:trPr>
          <w:cantSplit/>
        </w:trPr>
        <w:tc>
          <w:tcPr>
            <w:tcW w:w="2250" w:type="pct"/>
          </w:tcPr>
          <w:p w14:paraId="1F1F50B3"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sz w:val="22"/>
                <w:lang w:bidi="it-IT"/>
              </w:rPr>
              <w:t>Altro</w:t>
            </w:r>
            <w:r w:rsidRPr="008261B1">
              <w:rPr>
                <w:rFonts w:asciiTheme="majorHAnsi" w:hAnsiTheme="majorHAnsi" w:cstheme="majorHAnsi"/>
                <w:i/>
                <w:sz w:val="22"/>
                <w:lang w:bidi="it-IT"/>
              </w:rPr>
              <w:t xml:space="preserve"> (specificare)</w:t>
            </w:r>
          </w:p>
        </w:tc>
        <w:tc>
          <w:tcPr>
            <w:tcW w:w="500" w:type="pct"/>
          </w:tcPr>
          <w:p w14:paraId="0F67B347"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85572E0"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124CB2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B9341FC"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7B5722B5" w14:textId="77777777" w:rsidR="00776FBF" w:rsidRPr="008261B1" w:rsidRDefault="00776FBF" w:rsidP="00591FE3">
            <w:pPr>
              <w:pStyle w:val="Agency-body-text"/>
              <w:rPr>
                <w:rFonts w:asciiTheme="majorHAnsi" w:hAnsiTheme="majorHAnsi" w:cstheme="majorHAnsi"/>
                <w:sz w:val="22"/>
                <w:szCs w:val="22"/>
              </w:rPr>
            </w:pPr>
          </w:p>
        </w:tc>
      </w:tr>
    </w:tbl>
    <w:p w14:paraId="735EC64D" w14:textId="55CFA5AA" w:rsidR="00776FBF" w:rsidRPr="008261B1" w:rsidRDefault="00776FBF" w:rsidP="00591FE3">
      <w:pPr>
        <w:pStyle w:val="Agency-heading-3"/>
        <w:rPr>
          <w:rFonts w:asciiTheme="majorHAnsi" w:hAnsiTheme="majorHAnsi" w:cstheme="majorHAnsi"/>
        </w:rPr>
      </w:pPr>
      <w:r w:rsidRPr="008261B1">
        <w:rPr>
          <w:rFonts w:asciiTheme="majorHAnsi" w:hAnsiTheme="majorHAnsi" w:cstheme="majorHAnsi"/>
          <w:lang w:bidi="it-IT"/>
        </w:rPr>
        <w:t xml:space="preserve">Priorità/strategia politica 3.2: i professionisti dei settori dell’offerta educativa ordinaria e delle prestazioni dispongono di </w:t>
      </w:r>
      <w:r w:rsidRPr="008261B1">
        <w:rPr>
          <w:rFonts w:asciiTheme="majorHAnsi" w:hAnsiTheme="majorHAnsi" w:cstheme="majorHAnsi"/>
          <w:i/>
          <w:lang w:bidi="it-IT"/>
        </w:rPr>
        <w:t>competenze/abilità, qualifiche e strumenti</w:t>
      </w:r>
      <w:r w:rsidRPr="008261B1">
        <w:rPr>
          <w:rFonts w:asciiTheme="majorHAnsi" w:hAnsiTheme="majorHAnsi" w:cstheme="majorHAnsi"/>
          <w:lang w:bidi="it-IT"/>
        </w:rPr>
        <w:t xml:space="preserve"> adeguati per lavorare con gruppi diversi</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261B1" w14:paraId="6D7D1871" w14:textId="77777777" w:rsidTr="00C01411">
        <w:trPr>
          <w:cantSplit/>
          <w:tblHeader/>
        </w:trPr>
        <w:tc>
          <w:tcPr>
            <w:tcW w:w="2250" w:type="pct"/>
            <w:shd w:val="clear" w:color="auto" w:fill="D9D9D9" w:themeFill="background1" w:themeFillShade="D9"/>
          </w:tcPr>
          <w:p w14:paraId="15EA7734"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Azione chiave</w:t>
            </w:r>
          </w:p>
        </w:tc>
        <w:tc>
          <w:tcPr>
            <w:tcW w:w="500" w:type="pct"/>
            <w:shd w:val="clear" w:color="auto" w:fill="D9D9D9" w:themeFill="background1" w:themeFillShade="D9"/>
          </w:tcPr>
          <w:p w14:paraId="5EEBC9D9"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0 – Non ancora</w:t>
            </w:r>
          </w:p>
        </w:tc>
        <w:tc>
          <w:tcPr>
            <w:tcW w:w="500" w:type="pct"/>
            <w:shd w:val="clear" w:color="auto" w:fill="D9D9D9" w:themeFill="background1" w:themeFillShade="D9"/>
          </w:tcPr>
          <w:p w14:paraId="16AB805F"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1 – In programma</w:t>
            </w:r>
          </w:p>
        </w:tc>
        <w:tc>
          <w:tcPr>
            <w:tcW w:w="500" w:type="pct"/>
            <w:shd w:val="clear" w:color="auto" w:fill="D9D9D9" w:themeFill="background1" w:themeFillShade="D9"/>
          </w:tcPr>
          <w:p w14:paraId="4C687DA0"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2 – Parzialmente in atto</w:t>
            </w:r>
          </w:p>
        </w:tc>
        <w:tc>
          <w:tcPr>
            <w:tcW w:w="500" w:type="pct"/>
            <w:shd w:val="clear" w:color="auto" w:fill="D9D9D9" w:themeFill="background1" w:themeFillShade="D9"/>
          </w:tcPr>
          <w:p w14:paraId="5FA8370B"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3 – In atto</w:t>
            </w:r>
          </w:p>
        </w:tc>
        <w:tc>
          <w:tcPr>
            <w:tcW w:w="750" w:type="pct"/>
            <w:shd w:val="clear" w:color="auto" w:fill="D9D9D9" w:themeFill="background1" w:themeFillShade="D9"/>
          </w:tcPr>
          <w:p w14:paraId="53548B9E"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Commenti</w:t>
            </w:r>
          </w:p>
        </w:tc>
      </w:tr>
      <w:tr w:rsidR="00776FBF" w:rsidRPr="008261B1" w14:paraId="5C86C226" w14:textId="77777777" w:rsidTr="00C01411">
        <w:trPr>
          <w:cantSplit/>
        </w:trPr>
        <w:tc>
          <w:tcPr>
            <w:tcW w:w="2250" w:type="pct"/>
          </w:tcPr>
          <w:p w14:paraId="731FA467" w14:textId="61927A3E"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3.2.1</w:t>
            </w:r>
            <w:r w:rsidRPr="008261B1">
              <w:rPr>
                <w:rFonts w:asciiTheme="majorHAnsi" w:hAnsiTheme="majorHAnsi" w:cstheme="majorHAnsi"/>
                <w:sz w:val="22"/>
                <w:lang w:bidi="it-IT"/>
              </w:rPr>
              <w:t>: esistono misure per garantire che i programmi di formazione iniziale dei docenti includano il concetto e i principi dell’educazione inclusiva?</w:t>
            </w:r>
          </w:p>
        </w:tc>
        <w:tc>
          <w:tcPr>
            <w:tcW w:w="500" w:type="pct"/>
          </w:tcPr>
          <w:p w14:paraId="1FF2FF47"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8380402"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7FEA9E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FC9C3D5"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2A6AC14F"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581DF36A" w14:textId="77777777" w:rsidTr="00C01411">
        <w:trPr>
          <w:cantSplit/>
        </w:trPr>
        <w:tc>
          <w:tcPr>
            <w:tcW w:w="2250" w:type="pct"/>
          </w:tcPr>
          <w:p w14:paraId="38D30C77" w14:textId="05A4CFD0"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3.2.2</w:t>
            </w:r>
            <w:r w:rsidRPr="008261B1">
              <w:rPr>
                <w:rFonts w:asciiTheme="majorHAnsi" w:hAnsiTheme="majorHAnsi" w:cstheme="majorHAnsi"/>
                <w:sz w:val="22"/>
                <w:lang w:bidi="it-IT"/>
              </w:rPr>
              <w:t>: la pedagogia inclusiva è integrata nell’aggiornamento professionale degli insegnanti principianti e di quelli esperti, sia del settore dell’offerta educativa ordinaria che delle prestazioni?</w:t>
            </w:r>
          </w:p>
        </w:tc>
        <w:tc>
          <w:tcPr>
            <w:tcW w:w="500" w:type="pct"/>
          </w:tcPr>
          <w:p w14:paraId="1391F0D9"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0D17079"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5DD4C246"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62DDBFC"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685D233E"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7D3CB359" w14:textId="77777777" w:rsidTr="00C01411">
        <w:trPr>
          <w:cantSplit/>
        </w:trPr>
        <w:tc>
          <w:tcPr>
            <w:tcW w:w="2250" w:type="pct"/>
          </w:tcPr>
          <w:p w14:paraId="101006F2" w14:textId="0CBC6FB4"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3.2.3</w:t>
            </w:r>
            <w:r w:rsidRPr="008261B1">
              <w:rPr>
                <w:rFonts w:asciiTheme="majorHAnsi" w:hAnsiTheme="majorHAnsi" w:cstheme="majorHAnsi"/>
                <w:sz w:val="22"/>
                <w:lang w:bidi="it-IT"/>
              </w:rPr>
              <w:t>: esistono misure per garantire opportunità di apprendimento in servizio per tutti i professionisti, sia del settore dell’offerta educativa ordinaria che delle prestazioni?</w:t>
            </w:r>
          </w:p>
        </w:tc>
        <w:tc>
          <w:tcPr>
            <w:tcW w:w="500" w:type="pct"/>
          </w:tcPr>
          <w:p w14:paraId="51E738CC"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E7ABD82"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35C4DE12"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5C883B11"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714EF5E8"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4987303F" w14:textId="77777777" w:rsidTr="00C01411">
        <w:trPr>
          <w:cantSplit/>
        </w:trPr>
        <w:tc>
          <w:tcPr>
            <w:tcW w:w="2250" w:type="pct"/>
          </w:tcPr>
          <w:p w14:paraId="1CB95718"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sz w:val="22"/>
                <w:lang w:bidi="it-IT"/>
              </w:rPr>
              <w:lastRenderedPageBreak/>
              <w:t>Altro</w:t>
            </w:r>
            <w:r w:rsidRPr="008261B1">
              <w:rPr>
                <w:rFonts w:asciiTheme="majorHAnsi" w:hAnsiTheme="majorHAnsi" w:cstheme="majorHAnsi"/>
                <w:i/>
                <w:sz w:val="22"/>
                <w:lang w:bidi="it-IT"/>
              </w:rPr>
              <w:t xml:space="preserve"> (specificare)</w:t>
            </w:r>
          </w:p>
        </w:tc>
        <w:tc>
          <w:tcPr>
            <w:tcW w:w="500" w:type="pct"/>
          </w:tcPr>
          <w:p w14:paraId="0D4EEDA4"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7FF6FB7"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0D6D8FBB"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3F2FC104"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260C8641" w14:textId="77777777" w:rsidR="00776FBF" w:rsidRPr="008261B1" w:rsidRDefault="00776FBF" w:rsidP="00591FE3">
            <w:pPr>
              <w:pStyle w:val="Agency-body-text"/>
              <w:rPr>
                <w:rFonts w:asciiTheme="majorHAnsi" w:hAnsiTheme="majorHAnsi" w:cstheme="majorHAnsi"/>
                <w:sz w:val="22"/>
                <w:szCs w:val="22"/>
              </w:rPr>
            </w:pPr>
          </w:p>
        </w:tc>
      </w:tr>
    </w:tbl>
    <w:p w14:paraId="6252C969" w14:textId="1B5CA6FF" w:rsidR="00776FBF" w:rsidRPr="008261B1" w:rsidRDefault="00776FBF" w:rsidP="00591FE3">
      <w:pPr>
        <w:pStyle w:val="Agency-heading-3"/>
        <w:rPr>
          <w:rFonts w:asciiTheme="majorHAnsi" w:hAnsiTheme="majorHAnsi" w:cstheme="majorHAnsi"/>
        </w:rPr>
      </w:pPr>
      <w:r w:rsidRPr="008261B1">
        <w:rPr>
          <w:rFonts w:asciiTheme="majorHAnsi" w:hAnsiTheme="majorHAnsi" w:cstheme="majorHAnsi"/>
          <w:lang w:bidi="it-IT"/>
        </w:rPr>
        <w:t xml:space="preserve">Priorità/strategia politica 3.3: </w:t>
      </w:r>
      <w:r w:rsidRPr="008261B1">
        <w:rPr>
          <w:rFonts w:asciiTheme="majorHAnsi" w:hAnsiTheme="majorHAnsi" w:cstheme="majorHAnsi"/>
          <w:i/>
          <w:lang w:bidi="it-IT"/>
        </w:rPr>
        <w:t>collegare</w:t>
      </w:r>
      <w:r w:rsidRPr="008261B1">
        <w:rPr>
          <w:rFonts w:asciiTheme="majorHAnsi" w:hAnsiTheme="majorHAnsi" w:cstheme="majorHAnsi"/>
          <w:lang w:bidi="it-IT"/>
        </w:rPr>
        <w:t xml:space="preserve"> le opportunità di aggiornamento professionale per gli insegnanti dei settori dell’offerta educativa ordinaria e delle prestazioni</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261B1" w14:paraId="11594998" w14:textId="77777777" w:rsidTr="00C01411">
        <w:trPr>
          <w:cantSplit/>
          <w:tblHeader/>
        </w:trPr>
        <w:tc>
          <w:tcPr>
            <w:tcW w:w="2250" w:type="pct"/>
            <w:shd w:val="clear" w:color="auto" w:fill="D9D9D9" w:themeFill="background1" w:themeFillShade="D9"/>
          </w:tcPr>
          <w:p w14:paraId="1D05A9E6"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Azione chiave</w:t>
            </w:r>
          </w:p>
        </w:tc>
        <w:tc>
          <w:tcPr>
            <w:tcW w:w="500" w:type="pct"/>
            <w:shd w:val="clear" w:color="auto" w:fill="D9D9D9" w:themeFill="background1" w:themeFillShade="D9"/>
          </w:tcPr>
          <w:p w14:paraId="7D538D7B"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0 – Non ancora</w:t>
            </w:r>
          </w:p>
        </w:tc>
        <w:tc>
          <w:tcPr>
            <w:tcW w:w="500" w:type="pct"/>
            <w:shd w:val="clear" w:color="auto" w:fill="D9D9D9" w:themeFill="background1" w:themeFillShade="D9"/>
          </w:tcPr>
          <w:p w14:paraId="096798FB"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1 – In programma</w:t>
            </w:r>
          </w:p>
        </w:tc>
        <w:tc>
          <w:tcPr>
            <w:tcW w:w="500" w:type="pct"/>
            <w:shd w:val="clear" w:color="auto" w:fill="D9D9D9" w:themeFill="background1" w:themeFillShade="D9"/>
          </w:tcPr>
          <w:p w14:paraId="66647ADF"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2 – Parzialmente in atto</w:t>
            </w:r>
          </w:p>
        </w:tc>
        <w:tc>
          <w:tcPr>
            <w:tcW w:w="500" w:type="pct"/>
            <w:shd w:val="clear" w:color="auto" w:fill="D9D9D9" w:themeFill="background1" w:themeFillShade="D9"/>
          </w:tcPr>
          <w:p w14:paraId="37CAA4DD"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3 – In atto</w:t>
            </w:r>
          </w:p>
        </w:tc>
        <w:tc>
          <w:tcPr>
            <w:tcW w:w="750" w:type="pct"/>
            <w:shd w:val="clear" w:color="auto" w:fill="D9D9D9" w:themeFill="background1" w:themeFillShade="D9"/>
          </w:tcPr>
          <w:p w14:paraId="742382AE"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Commenti</w:t>
            </w:r>
          </w:p>
        </w:tc>
      </w:tr>
      <w:tr w:rsidR="00776FBF" w:rsidRPr="008261B1" w14:paraId="1007CA07" w14:textId="77777777" w:rsidTr="00C01411">
        <w:trPr>
          <w:cantSplit/>
        </w:trPr>
        <w:tc>
          <w:tcPr>
            <w:tcW w:w="2250" w:type="pct"/>
          </w:tcPr>
          <w:p w14:paraId="296913C7"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3.3.1</w:t>
            </w:r>
            <w:r w:rsidRPr="008261B1">
              <w:rPr>
                <w:rFonts w:asciiTheme="majorHAnsi" w:hAnsiTheme="majorHAnsi" w:cstheme="majorHAnsi"/>
                <w:sz w:val="22"/>
                <w:lang w:bidi="it-IT"/>
              </w:rPr>
              <w:t>: esistono strutture per la collaborazione tra professionisti?</w:t>
            </w:r>
          </w:p>
        </w:tc>
        <w:tc>
          <w:tcPr>
            <w:tcW w:w="500" w:type="pct"/>
          </w:tcPr>
          <w:p w14:paraId="3F287EA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0F909455"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3897406B"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D8F23E9"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17616FB9"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63AD1F26" w14:textId="77777777" w:rsidTr="00C01411">
        <w:trPr>
          <w:cantSplit/>
        </w:trPr>
        <w:tc>
          <w:tcPr>
            <w:tcW w:w="2250" w:type="pct"/>
          </w:tcPr>
          <w:p w14:paraId="15DE1C67" w14:textId="4B688041"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3.3.2</w:t>
            </w:r>
            <w:r w:rsidRPr="008261B1">
              <w:rPr>
                <w:rFonts w:asciiTheme="majorHAnsi" w:hAnsiTheme="majorHAnsi" w:cstheme="majorHAnsi"/>
                <w:sz w:val="22"/>
                <w:lang w:bidi="it-IT"/>
              </w:rPr>
              <w:t>: il personale del settore delle prestazioni fornisce consulenza e sostegno agli insegnanti dell’offerta educativa ordinaria su come lavorare con gruppi diversi?</w:t>
            </w:r>
          </w:p>
        </w:tc>
        <w:tc>
          <w:tcPr>
            <w:tcW w:w="500" w:type="pct"/>
          </w:tcPr>
          <w:p w14:paraId="04F45531"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C74EE00"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CDB4E7E"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45EFF1B"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6B6D85A6"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2C983D17" w14:textId="77777777" w:rsidTr="00C01411">
        <w:trPr>
          <w:cantSplit/>
        </w:trPr>
        <w:tc>
          <w:tcPr>
            <w:tcW w:w="2250" w:type="pct"/>
          </w:tcPr>
          <w:p w14:paraId="0390D9BD"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3.3.3</w:t>
            </w:r>
            <w:r w:rsidRPr="008261B1">
              <w:rPr>
                <w:rFonts w:asciiTheme="majorHAnsi" w:hAnsiTheme="majorHAnsi" w:cstheme="majorHAnsi"/>
                <w:sz w:val="22"/>
                <w:lang w:bidi="it-IT"/>
              </w:rPr>
              <w:t>: esistono programmi per creare ponti tra il settore delle prestazioni e quello dell’offerta educativa ordinaria?</w:t>
            </w:r>
          </w:p>
        </w:tc>
        <w:tc>
          <w:tcPr>
            <w:tcW w:w="500" w:type="pct"/>
          </w:tcPr>
          <w:p w14:paraId="66FDCE79"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31E6D53E"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F8F8AD4"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0CDE904"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36711DFD"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5A518C3A" w14:textId="77777777" w:rsidTr="00C01411">
        <w:trPr>
          <w:cantSplit/>
        </w:trPr>
        <w:tc>
          <w:tcPr>
            <w:tcW w:w="2250" w:type="pct"/>
          </w:tcPr>
          <w:p w14:paraId="676C6E73"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sz w:val="22"/>
                <w:lang w:bidi="it-IT"/>
              </w:rPr>
              <w:t>Altro</w:t>
            </w:r>
            <w:r w:rsidRPr="008261B1">
              <w:rPr>
                <w:rFonts w:asciiTheme="majorHAnsi" w:hAnsiTheme="majorHAnsi" w:cstheme="majorHAnsi"/>
                <w:i/>
                <w:sz w:val="22"/>
                <w:lang w:bidi="it-IT"/>
              </w:rPr>
              <w:t xml:space="preserve"> (specificare)</w:t>
            </w:r>
          </w:p>
        </w:tc>
        <w:tc>
          <w:tcPr>
            <w:tcW w:w="500" w:type="pct"/>
          </w:tcPr>
          <w:p w14:paraId="45D61C7A"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20F40F9"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5E3C6354"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DBB634F"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28DDA6B7" w14:textId="77777777" w:rsidR="00776FBF" w:rsidRPr="008261B1" w:rsidRDefault="00776FBF" w:rsidP="00591FE3">
            <w:pPr>
              <w:pStyle w:val="Agency-body-text"/>
              <w:rPr>
                <w:rFonts w:asciiTheme="majorHAnsi" w:hAnsiTheme="majorHAnsi" w:cstheme="majorHAnsi"/>
                <w:sz w:val="22"/>
                <w:szCs w:val="22"/>
              </w:rPr>
            </w:pPr>
          </w:p>
        </w:tc>
      </w:tr>
    </w:tbl>
    <w:p w14:paraId="057D6D6F" w14:textId="7AD748D8" w:rsidR="00776FBF" w:rsidRPr="008261B1" w:rsidRDefault="00776FBF" w:rsidP="00591FE3">
      <w:pPr>
        <w:pStyle w:val="Agency-heading-2"/>
        <w:rPr>
          <w:rFonts w:asciiTheme="majorHAnsi" w:hAnsiTheme="majorHAnsi" w:cstheme="majorHAnsi"/>
        </w:rPr>
      </w:pPr>
      <w:bookmarkStart w:id="10" w:name="_Toc127367771"/>
      <w:r w:rsidRPr="008261B1">
        <w:rPr>
          <w:rFonts w:asciiTheme="majorHAnsi" w:hAnsiTheme="majorHAnsi" w:cstheme="majorHAnsi"/>
          <w:lang w:bidi="it-IT"/>
        </w:rPr>
        <w:lastRenderedPageBreak/>
        <w:t xml:space="preserve">Principio guida 4: </w:t>
      </w:r>
      <w:r w:rsidR="000B578B">
        <w:rPr>
          <w:rFonts w:asciiTheme="majorHAnsi" w:hAnsiTheme="majorHAnsi" w:cstheme="majorHAnsi"/>
          <w:lang w:bidi="it-IT"/>
        </w:rPr>
        <w:t>S</w:t>
      </w:r>
      <w:r w:rsidR="000B578B" w:rsidRPr="008261B1">
        <w:rPr>
          <w:rFonts w:asciiTheme="majorHAnsi" w:hAnsiTheme="majorHAnsi" w:cstheme="majorHAnsi"/>
          <w:lang w:bidi="it-IT"/>
        </w:rPr>
        <w:t xml:space="preserve">upportare </w:t>
      </w:r>
      <w:r w:rsidRPr="008261B1">
        <w:rPr>
          <w:rFonts w:asciiTheme="majorHAnsi" w:hAnsiTheme="majorHAnsi" w:cstheme="majorHAnsi"/>
          <w:lang w:bidi="it-IT"/>
        </w:rPr>
        <w:t>la leadership e la gestione scolastica inclusiva</w:t>
      </w:r>
      <w:bookmarkEnd w:id="10"/>
    </w:p>
    <w:p w14:paraId="37DBDF11" w14:textId="32820686" w:rsidR="00776FBF" w:rsidRPr="008261B1" w:rsidRDefault="00776FBF" w:rsidP="00591FE3">
      <w:pPr>
        <w:pStyle w:val="Agency-heading-3"/>
        <w:rPr>
          <w:rFonts w:asciiTheme="majorHAnsi" w:hAnsiTheme="majorHAnsi" w:cstheme="majorHAnsi"/>
        </w:rPr>
      </w:pPr>
      <w:r w:rsidRPr="008261B1">
        <w:rPr>
          <w:rFonts w:asciiTheme="majorHAnsi" w:hAnsiTheme="majorHAnsi" w:cstheme="majorHAnsi"/>
          <w:lang w:bidi="it-IT"/>
        </w:rPr>
        <w:t xml:space="preserve">Priorità/strategia politica 4.1: i dirigenti scolastici promuovono una </w:t>
      </w:r>
      <w:r w:rsidRPr="008261B1">
        <w:rPr>
          <w:rFonts w:asciiTheme="majorHAnsi" w:hAnsiTheme="majorHAnsi" w:cstheme="majorHAnsi"/>
          <w:i/>
          <w:lang w:bidi="it-IT"/>
        </w:rPr>
        <w:t>visione inclusiva</w:t>
      </w:r>
      <w:r w:rsidRPr="008261B1">
        <w:rPr>
          <w:rFonts w:asciiTheme="majorHAnsi" w:hAnsiTheme="majorHAnsi" w:cstheme="majorHAnsi"/>
          <w:lang w:bidi="it-IT"/>
        </w:rPr>
        <w:t xml:space="preserve"> che comprende valori, linguaggio e comprensione comuni e un approccio olistico</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261B1" w14:paraId="64969742" w14:textId="77777777" w:rsidTr="00C01411">
        <w:trPr>
          <w:cantSplit/>
          <w:tblHeader/>
        </w:trPr>
        <w:tc>
          <w:tcPr>
            <w:tcW w:w="2250" w:type="pct"/>
            <w:shd w:val="clear" w:color="auto" w:fill="D9D9D9" w:themeFill="background1" w:themeFillShade="D9"/>
          </w:tcPr>
          <w:p w14:paraId="09095B4E"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Azione chiave</w:t>
            </w:r>
          </w:p>
        </w:tc>
        <w:tc>
          <w:tcPr>
            <w:tcW w:w="500" w:type="pct"/>
            <w:shd w:val="clear" w:color="auto" w:fill="D9D9D9" w:themeFill="background1" w:themeFillShade="D9"/>
          </w:tcPr>
          <w:p w14:paraId="470087CB"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0 – Non ancora</w:t>
            </w:r>
          </w:p>
        </w:tc>
        <w:tc>
          <w:tcPr>
            <w:tcW w:w="500" w:type="pct"/>
            <w:shd w:val="clear" w:color="auto" w:fill="D9D9D9" w:themeFill="background1" w:themeFillShade="D9"/>
          </w:tcPr>
          <w:p w14:paraId="7A664305"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1 – In programma</w:t>
            </w:r>
          </w:p>
        </w:tc>
        <w:tc>
          <w:tcPr>
            <w:tcW w:w="500" w:type="pct"/>
            <w:shd w:val="clear" w:color="auto" w:fill="D9D9D9" w:themeFill="background1" w:themeFillShade="D9"/>
          </w:tcPr>
          <w:p w14:paraId="40261393"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2 – Parzialmente in atto</w:t>
            </w:r>
          </w:p>
        </w:tc>
        <w:tc>
          <w:tcPr>
            <w:tcW w:w="500" w:type="pct"/>
            <w:shd w:val="clear" w:color="auto" w:fill="D9D9D9" w:themeFill="background1" w:themeFillShade="D9"/>
          </w:tcPr>
          <w:p w14:paraId="0FC9B284"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3 – In atto</w:t>
            </w:r>
          </w:p>
        </w:tc>
        <w:tc>
          <w:tcPr>
            <w:tcW w:w="750" w:type="pct"/>
            <w:shd w:val="clear" w:color="auto" w:fill="D9D9D9" w:themeFill="background1" w:themeFillShade="D9"/>
          </w:tcPr>
          <w:p w14:paraId="47D229B3"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Commenti</w:t>
            </w:r>
          </w:p>
        </w:tc>
      </w:tr>
      <w:tr w:rsidR="00776FBF" w:rsidRPr="008261B1" w14:paraId="1238DA0E" w14:textId="77777777" w:rsidTr="00C01411">
        <w:trPr>
          <w:cantSplit/>
        </w:trPr>
        <w:tc>
          <w:tcPr>
            <w:tcW w:w="2250" w:type="pct"/>
          </w:tcPr>
          <w:p w14:paraId="0035BA03"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4.1.1</w:t>
            </w:r>
            <w:r w:rsidRPr="008261B1">
              <w:rPr>
                <w:rFonts w:asciiTheme="majorHAnsi" w:hAnsiTheme="majorHAnsi" w:cstheme="majorHAnsi"/>
                <w:sz w:val="22"/>
                <w:lang w:bidi="it-IT"/>
              </w:rPr>
              <w:t>: esiste una chiara definizione di inclusione nella legislazione che deve essere adottata dai dirigenti scolastici?</w:t>
            </w:r>
          </w:p>
        </w:tc>
        <w:tc>
          <w:tcPr>
            <w:tcW w:w="500" w:type="pct"/>
          </w:tcPr>
          <w:p w14:paraId="282DC24F"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E841389"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BEE57E5"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1AEC009"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5809FCEC"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1617A44A" w14:textId="77777777" w:rsidTr="00C01411">
        <w:trPr>
          <w:cantSplit/>
        </w:trPr>
        <w:tc>
          <w:tcPr>
            <w:tcW w:w="2250" w:type="pct"/>
          </w:tcPr>
          <w:p w14:paraId="2A120947"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4.1.2</w:t>
            </w:r>
            <w:r w:rsidRPr="008261B1">
              <w:rPr>
                <w:rFonts w:asciiTheme="majorHAnsi" w:hAnsiTheme="majorHAnsi" w:cstheme="majorHAnsi"/>
                <w:sz w:val="22"/>
                <w:lang w:bidi="it-IT"/>
              </w:rPr>
              <w:t>: la formazione dei dirigenti si basa su un approccio che coinvolge tutti i soggetti del processo educativo?</w:t>
            </w:r>
          </w:p>
        </w:tc>
        <w:tc>
          <w:tcPr>
            <w:tcW w:w="500" w:type="pct"/>
          </w:tcPr>
          <w:p w14:paraId="10FAB97E"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DAAE24C"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FB88169"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0449601B"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0DF89FD0"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5FB7D1EB" w14:textId="77777777" w:rsidTr="00C01411">
        <w:trPr>
          <w:cantSplit/>
        </w:trPr>
        <w:tc>
          <w:tcPr>
            <w:tcW w:w="2250" w:type="pct"/>
          </w:tcPr>
          <w:p w14:paraId="2406676D"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4.1.3</w:t>
            </w:r>
            <w:r w:rsidRPr="008261B1">
              <w:rPr>
                <w:rFonts w:asciiTheme="majorHAnsi" w:hAnsiTheme="majorHAnsi" w:cstheme="majorHAnsi"/>
                <w:sz w:val="22"/>
                <w:lang w:bidi="it-IT"/>
              </w:rPr>
              <w:t>: i dirigenti del settore dell’offerta educativa ordinaria sono responsabili della gestione della diversità (agiscono come “facilitatori”)?</w:t>
            </w:r>
          </w:p>
        </w:tc>
        <w:tc>
          <w:tcPr>
            <w:tcW w:w="500" w:type="pct"/>
          </w:tcPr>
          <w:p w14:paraId="24BA9173"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46A9BE1"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8EADBEF"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55042774"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1B6A7FDC"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40E2B0FA" w14:textId="77777777" w:rsidTr="00C01411">
        <w:trPr>
          <w:cantSplit/>
        </w:trPr>
        <w:tc>
          <w:tcPr>
            <w:tcW w:w="2250" w:type="pct"/>
          </w:tcPr>
          <w:p w14:paraId="29FD0AA6"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sz w:val="22"/>
                <w:lang w:bidi="it-IT"/>
              </w:rPr>
              <w:t>Altro</w:t>
            </w:r>
            <w:r w:rsidRPr="008261B1">
              <w:rPr>
                <w:rFonts w:asciiTheme="majorHAnsi" w:hAnsiTheme="majorHAnsi" w:cstheme="majorHAnsi"/>
                <w:i/>
                <w:sz w:val="22"/>
                <w:lang w:bidi="it-IT"/>
              </w:rPr>
              <w:t xml:space="preserve"> (specificare)</w:t>
            </w:r>
          </w:p>
        </w:tc>
        <w:tc>
          <w:tcPr>
            <w:tcW w:w="500" w:type="pct"/>
          </w:tcPr>
          <w:p w14:paraId="6B8E59D2"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F18AD1F"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00B66465"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03619E8"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668CC15B" w14:textId="77777777" w:rsidR="00776FBF" w:rsidRPr="008261B1" w:rsidRDefault="00776FBF" w:rsidP="00591FE3">
            <w:pPr>
              <w:pStyle w:val="Agency-body-text"/>
              <w:rPr>
                <w:rFonts w:asciiTheme="majorHAnsi" w:hAnsiTheme="majorHAnsi" w:cstheme="majorHAnsi"/>
                <w:sz w:val="22"/>
                <w:szCs w:val="22"/>
              </w:rPr>
            </w:pPr>
          </w:p>
        </w:tc>
      </w:tr>
    </w:tbl>
    <w:p w14:paraId="53AC3665" w14:textId="6178B34E" w:rsidR="00776FBF" w:rsidRPr="008261B1" w:rsidRDefault="00776FBF" w:rsidP="00581BFC">
      <w:pPr>
        <w:pStyle w:val="Agency-heading-3"/>
        <w:rPr>
          <w:rFonts w:asciiTheme="majorHAnsi" w:hAnsiTheme="majorHAnsi" w:cstheme="majorHAnsi"/>
        </w:rPr>
      </w:pPr>
      <w:r w:rsidRPr="008261B1">
        <w:rPr>
          <w:rFonts w:asciiTheme="majorHAnsi" w:hAnsiTheme="majorHAnsi" w:cstheme="majorHAnsi"/>
          <w:lang w:bidi="it-IT"/>
        </w:rPr>
        <w:t xml:space="preserve">Priorità/strategia politica 4.2: garantire </w:t>
      </w:r>
      <w:r w:rsidRPr="008261B1">
        <w:rPr>
          <w:rFonts w:asciiTheme="majorHAnsi" w:hAnsiTheme="majorHAnsi" w:cstheme="majorHAnsi"/>
          <w:i/>
          <w:lang w:bidi="it-IT"/>
        </w:rPr>
        <w:t>le capacità e la fiducia</w:t>
      </w:r>
      <w:r w:rsidRPr="008261B1">
        <w:rPr>
          <w:rFonts w:asciiTheme="majorHAnsi" w:hAnsiTheme="majorHAnsi" w:cstheme="majorHAnsi"/>
          <w:lang w:bidi="it-IT"/>
        </w:rPr>
        <w:t xml:space="preserve"> della leadership scolastica sia del settore dell’offerta educativa ordinaria sia delle prestazioni per sostenere l’educazione inclusiva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261B1" w14:paraId="75B1CB87" w14:textId="77777777" w:rsidTr="00C01411">
        <w:trPr>
          <w:cantSplit/>
          <w:tblHeader/>
        </w:trPr>
        <w:tc>
          <w:tcPr>
            <w:tcW w:w="2250" w:type="pct"/>
            <w:shd w:val="clear" w:color="auto" w:fill="D9D9D9" w:themeFill="background1" w:themeFillShade="D9"/>
          </w:tcPr>
          <w:p w14:paraId="10AF96CA"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Azione chiave</w:t>
            </w:r>
          </w:p>
        </w:tc>
        <w:tc>
          <w:tcPr>
            <w:tcW w:w="500" w:type="pct"/>
            <w:shd w:val="clear" w:color="auto" w:fill="D9D9D9" w:themeFill="background1" w:themeFillShade="D9"/>
          </w:tcPr>
          <w:p w14:paraId="3B386B8C"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0 – Non ancora</w:t>
            </w:r>
          </w:p>
        </w:tc>
        <w:tc>
          <w:tcPr>
            <w:tcW w:w="500" w:type="pct"/>
            <w:shd w:val="clear" w:color="auto" w:fill="D9D9D9" w:themeFill="background1" w:themeFillShade="D9"/>
          </w:tcPr>
          <w:p w14:paraId="7E829B1E"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1 – In programma</w:t>
            </w:r>
          </w:p>
        </w:tc>
        <w:tc>
          <w:tcPr>
            <w:tcW w:w="500" w:type="pct"/>
            <w:shd w:val="clear" w:color="auto" w:fill="D9D9D9" w:themeFill="background1" w:themeFillShade="D9"/>
          </w:tcPr>
          <w:p w14:paraId="7385D61E"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2 – Parzialmente in atto</w:t>
            </w:r>
          </w:p>
        </w:tc>
        <w:tc>
          <w:tcPr>
            <w:tcW w:w="500" w:type="pct"/>
            <w:shd w:val="clear" w:color="auto" w:fill="D9D9D9" w:themeFill="background1" w:themeFillShade="D9"/>
          </w:tcPr>
          <w:p w14:paraId="70741F6D"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3 – In atto</w:t>
            </w:r>
          </w:p>
        </w:tc>
        <w:tc>
          <w:tcPr>
            <w:tcW w:w="750" w:type="pct"/>
            <w:shd w:val="clear" w:color="auto" w:fill="D9D9D9" w:themeFill="background1" w:themeFillShade="D9"/>
          </w:tcPr>
          <w:p w14:paraId="31E69368"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Commenti</w:t>
            </w:r>
          </w:p>
        </w:tc>
      </w:tr>
      <w:tr w:rsidR="00776FBF" w:rsidRPr="008261B1" w14:paraId="5870DEF0" w14:textId="77777777" w:rsidTr="00C01411">
        <w:trPr>
          <w:cantSplit/>
        </w:trPr>
        <w:tc>
          <w:tcPr>
            <w:tcW w:w="2250" w:type="pct"/>
          </w:tcPr>
          <w:p w14:paraId="40D9F693"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4.2.1</w:t>
            </w:r>
            <w:r w:rsidRPr="008261B1">
              <w:rPr>
                <w:rFonts w:asciiTheme="majorHAnsi" w:hAnsiTheme="majorHAnsi" w:cstheme="majorHAnsi"/>
                <w:sz w:val="22"/>
                <w:lang w:bidi="it-IT"/>
              </w:rPr>
              <w:t>: esistono strutture per sviluppare strategie di leadership sull’educazione inclusiva?</w:t>
            </w:r>
          </w:p>
        </w:tc>
        <w:tc>
          <w:tcPr>
            <w:tcW w:w="500" w:type="pct"/>
          </w:tcPr>
          <w:p w14:paraId="04D53B0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03470671"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56CED0A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57285C75"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426FDCA8"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28708CD2" w14:textId="77777777" w:rsidTr="00C01411">
        <w:trPr>
          <w:cantSplit/>
        </w:trPr>
        <w:tc>
          <w:tcPr>
            <w:tcW w:w="2250" w:type="pct"/>
          </w:tcPr>
          <w:p w14:paraId="7D258915"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lastRenderedPageBreak/>
              <w:t>4.2.2</w:t>
            </w:r>
            <w:r w:rsidRPr="008261B1">
              <w:rPr>
                <w:rFonts w:asciiTheme="majorHAnsi" w:hAnsiTheme="majorHAnsi" w:cstheme="majorHAnsi"/>
                <w:sz w:val="22"/>
                <w:lang w:bidi="it-IT"/>
              </w:rPr>
              <w:t>: esistono strutture di sostegno per far sì che i team di direzione si sentano sicuri nell’attuazione dell’educazione inclusiva?</w:t>
            </w:r>
          </w:p>
        </w:tc>
        <w:tc>
          <w:tcPr>
            <w:tcW w:w="500" w:type="pct"/>
          </w:tcPr>
          <w:p w14:paraId="2408DA0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02A1DC19"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685677A"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6DF763D"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15C7AE25"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67291D11" w14:textId="77777777" w:rsidTr="00C01411">
        <w:trPr>
          <w:cantSplit/>
        </w:trPr>
        <w:tc>
          <w:tcPr>
            <w:tcW w:w="2250" w:type="pct"/>
          </w:tcPr>
          <w:p w14:paraId="00D723CB"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4.2.3</w:t>
            </w:r>
            <w:r w:rsidRPr="008261B1">
              <w:rPr>
                <w:rFonts w:asciiTheme="majorHAnsi" w:hAnsiTheme="majorHAnsi" w:cstheme="majorHAnsi"/>
                <w:sz w:val="22"/>
                <w:lang w:bidi="it-IT"/>
              </w:rPr>
              <w:t>: i team di direzione hanno il livello di autonomia necessario per attuare l’educazione inclusiva?</w:t>
            </w:r>
          </w:p>
        </w:tc>
        <w:tc>
          <w:tcPr>
            <w:tcW w:w="500" w:type="pct"/>
          </w:tcPr>
          <w:p w14:paraId="5884CB82"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9800CDF"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07AB9BA"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3F33F202"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46D7FD9C"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07816CC5" w14:textId="77777777" w:rsidTr="00C01411">
        <w:trPr>
          <w:cantSplit/>
        </w:trPr>
        <w:tc>
          <w:tcPr>
            <w:tcW w:w="2250" w:type="pct"/>
          </w:tcPr>
          <w:p w14:paraId="2F4CF563"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sz w:val="22"/>
                <w:lang w:bidi="it-IT"/>
              </w:rPr>
              <w:t>Altro</w:t>
            </w:r>
            <w:r w:rsidRPr="008261B1">
              <w:rPr>
                <w:rFonts w:asciiTheme="majorHAnsi" w:hAnsiTheme="majorHAnsi" w:cstheme="majorHAnsi"/>
                <w:i/>
                <w:sz w:val="22"/>
                <w:lang w:bidi="it-IT"/>
              </w:rPr>
              <w:t xml:space="preserve"> (specificare)</w:t>
            </w:r>
          </w:p>
        </w:tc>
        <w:tc>
          <w:tcPr>
            <w:tcW w:w="500" w:type="pct"/>
          </w:tcPr>
          <w:p w14:paraId="366E9322"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B0F53B8"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60BA7EA"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8358F54"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29C862C2" w14:textId="77777777" w:rsidR="00776FBF" w:rsidRPr="008261B1" w:rsidRDefault="00776FBF" w:rsidP="00591FE3">
            <w:pPr>
              <w:pStyle w:val="Agency-body-text"/>
              <w:rPr>
                <w:rFonts w:asciiTheme="majorHAnsi" w:hAnsiTheme="majorHAnsi" w:cstheme="majorHAnsi"/>
                <w:sz w:val="22"/>
                <w:szCs w:val="22"/>
              </w:rPr>
            </w:pPr>
          </w:p>
        </w:tc>
      </w:tr>
    </w:tbl>
    <w:p w14:paraId="0B366F34" w14:textId="60D8F940" w:rsidR="00776FBF" w:rsidRPr="008261B1" w:rsidRDefault="00776FBF" w:rsidP="00F30963">
      <w:pPr>
        <w:pStyle w:val="Agency-heading-3"/>
        <w:rPr>
          <w:rFonts w:asciiTheme="majorHAnsi" w:hAnsiTheme="majorHAnsi" w:cstheme="majorHAnsi"/>
        </w:rPr>
      </w:pPr>
      <w:r w:rsidRPr="008261B1">
        <w:rPr>
          <w:rFonts w:asciiTheme="majorHAnsi" w:hAnsiTheme="majorHAnsi" w:cstheme="majorHAnsi"/>
          <w:lang w:bidi="it-IT"/>
        </w:rPr>
        <w:t xml:space="preserve">Priorità/strategia politica 4.3: la leadership e la gestione scolastica sostengono l’educazione inclusiva mediante la </w:t>
      </w:r>
      <w:r w:rsidRPr="008261B1">
        <w:rPr>
          <w:rFonts w:asciiTheme="majorHAnsi" w:hAnsiTheme="majorHAnsi" w:cstheme="majorHAnsi"/>
          <w:i/>
          <w:lang w:bidi="it-IT"/>
        </w:rPr>
        <w:t>collaborazione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261B1" w14:paraId="7D3F7C4D" w14:textId="77777777" w:rsidTr="00C01411">
        <w:trPr>
          <w:cantSplit/>
          <w:tblHeader/>
        </w:trPr>
        <w:tc>
          <w:tcPr>
            <w:tcW w:w="2250" w:type="pct"/>
            <w:shd w:val="clear" w:color="auto" w:fill="D9D9D9" w:themeFill="background1" w:themeFillShade="D9"/>
          </w:tcPr>
          <w:p w14:paraId="4254C2C1"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Azione chiave</w:t>
            </w:r>
          </w:p>
        </w:tc>
        <w:tc>
          <w:tcPr>
            <w:tcW w:w="500" w:type="pct"/>
            <w:shd w:val="clear" w:color="auto" w:fill="D9D9D9" w:themeFill="background1" w:themeFillShade="D9"/>
          </w:tcPr>
          <w:p w14:paraId="48C04E0A"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0 – Non ancora</w:t>
            </w:r>
          </w:p>
        </w:tc>
        <w:tc>
          <w:tcPr>
            <w:tcW w:w="500" w:type="pct"/>
            <w:shd w:val="clear" w:color="auto" w:fill="D9D9D9" w:themeFill="background1" w:themeFillShade="D9"/>
          </w:tcPr>
          <w:p w14:paraId="147EAD01"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1 – In programma</w:t>
            </w:r>
          </w:p>
        </w:tc>
        <w:tc>
          <w:tcPr>
            <w:tcW w:w="500" w:type="pct"/>
            <w:shd w:val="clear" w:color="auto" w:fill="D9D9D9" w:themeFill="background1" w:themeFillShade="D9"/>
          </w:tcPr>
          <w:p w14:paraId="5ABFAAE5"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2 – Parzialmente in atto</w:t>
            </w:r>
          </w:p>
        </w:tc>
        <w:tc>
          <w:tcPr>
            <w:tcW w:w="500" w:type="pct"/>
            <w:shd w:val="clear" w:color="auto" w:fill="D9D9D9" w:themeFill="background1" w:themeFillShade="D9"/>
          </w:tcPr>
          <w:p w14:paraId="060C017D"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3 – In atto</w:t>
            </w:r>
          </w:p>
        </w:tc>
        <w:tc>
          <w:tcPr>
            <w:tcW w:w="750" w:type="pct"/>
            <w:shd w:val="clear" w:color="auto" w:fill="D9D9D9" w:themeFill="background1" w:themeFillShade="D9"/>
          </w:tcPr>
          <w:p w14:paraId="15A1DA46"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Commenti</w:t>
            </w:r>
          </w:p>
        </w:tc>
      </w:tr>
      <w:tr w:rsidR="00776FBF" w:rsidRPr="008261B1" w14:paraId="79D12246" w14:textId="77777777" w:rsidTr="00C01411">
        <w:trPr>
          <w:cantSplit/>
        </w:trPr>
        <w:tc>
          <w:tcPr>
            <w:tcW w:w="2250" w:type="pct"/>
          </w:tcPr>
          <w:p w14:paraId="0790A41E"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4.3.1</w:t>
            </w:r>
            <w:r w:rsidRPr="008261B1">
              <w:rPr>
                <w:rFonts w:asciiTheme="majorHAnsi" w:hAnsiTheme="majorHAnsi" w:cstheme="majorHAnsi"/>
                <w:sz w:val="22"/>
                <w:lang w:bidi="it-IT"/>
              </w:rPr>
              <w:t>: la leadership e la gestione scolastica garantiscono una collaborazione efficace tra i team multiprofessionali?</w:t>
            </w:r>
          </w:p>
        </w:tc>
        <w:tc>
          <w:tcPr>
            <w:tcW w:w="500" w:type="pct"/>
          </w:tcPr>
          <w:p w14:paraId="52F4B60A"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0F87EBE"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8230216"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213CF45"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2D037CA2"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0B8D3F6A" w14:textId="77777777" w:rsidTr="00C01411">
        <w:trPr>
          <w:cantSplit/>
        </w:trPr>
        <w:tc>
          <w:tcPr>
            <w:tcW w:w="2250" w:type="pct"/>
          </w:tcPr>
          <w:p w14:paraId="671CC5F2"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4.3.2</w:t>
            </w:r>
            <w:r w:rsidRPr="008261B1">
              <w:rPr>
                <w:rFonts w:asciiTheme="majorHAnsi" w:hAnsiTheme="majorHAnsi" w:cstheme="majorHAnsi"/>
                <w:sz w:val="22"/>
                <w:lang w:bidi="it-IT"/>
              </w:rPr>
              <w:t xml:space="preserve">: la leadership e la gestione scolastica promuovono il trasferimento di know-how dal settore delle prestazioni a quello dell’offerta educativa ordinaria? </w:t>
            </w:r>
          </w:p>
        </w:tc>
        <w:tc>
          <w:tcPr>
            <w:tcW w:w="500" w:type="pct"/>
          </w:tcPr>
          <w:p w14:paraId="55E2D21E"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9A3B6B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8A67BCE"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5E84D26"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7BE4974C"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6E7AAC01" w14:textId="77777777" w:rsidTr="00C01411">
        <w:trPr>
          <w:cantSplit/>
        </w:trPr>
        <w:tc>
          <w:tcPr>
            <w:tcW w:w="2250" w:type="pct"/>
          </w:tcPr>
          <w:p w14:paraId="44C68246"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4.3.3</w:t>
            </w:r>
            <w:r w:rsidRPr="008261B1">
              <w:rPr>
                <w:rFonts w:asciiTheme="majorHAnsi" w:hAnsiTheme="majorHAnsi" w:cstheme="majorHAnsi"/>
                <w:sz w:val="22"/>
                <w:lang w:bidi="it-IT"/>
              </w:rPr>
              <w:t>: la leadership e la gestione scolastica promuovono la collaborazione e la comunicazione continua tra scuole, servizi comunitari, enti di formazione ecc.?</w:t>
            </w:r>
          </w:p>
        </w:tc>
        <w:tc>
          <w:tcPr>
            <w:tcW w:w="500" w:type="pct"/>
          </w:tcPr>
          <w:p w14:paraId="0E809D30"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71AE12C"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5D3D51AA"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472CA31"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12C36EB4"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0B5E2B7B" w14:textId="77777777" w:rsidTr="00C01411">
        <w:trPr>
          <w:cantSplit/>
        </w:trPr>
        <w:tc>
          <w:tcPr>
            <w:tcW w:w="2250" w:type="pct"/>
          </w:tcPr>
          <w:p w14:paraId="7325A08A"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sz w:val="22"/>
                <w:lang w:bidi="it-IT"/>
              </w:rPr>
              <w:t>Altro</w:t>
            </w:r>
            <w:r w:rsidRPr="008261B1">
              <w:rPr>
                <w:rFonts w:asciiTheme="majorHAnsi" w:hAnsiTheme="majorHAnsi" w:cstheme="majorHAnsi"/>
                <w:i/>
                <w:sz w:val="22"/>
                <w:lang w:bidi="it-IT"/>
              </w:rPr>
              <w:t xml:space="preserve"> (specificare)</w:t>
            </w:r>
          </w:p>
        </w:tc>
        <w:tc>
          <w:tcPr>
            <w:tcW w:w="500" w:type="pct"/>
          </w:tcPr>
          <w:p w14:paraId="058CC9D8"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052812C1"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D641AD3"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34661101"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4AA7330C" w14:textId="77777777" w:rsidR="00776FBF" w:rsidRPr="008261B1" w:rsidRDefault="00776FBF" w:rsidP="00591FE3">
            <w:pPr>
              <w:pStyle w:val="Agency-body-text"/>
              <w:rPr>
                <w:rFonts w:asciiTheme="majorHAnsi" w:hAnsiTheme="majorHAnsi" w:cstheme="majorHAnsi"/>
                <w:sz w:val="22"/>
                <w:szCs w:val="22"/>
              </w:rPr>
            </w:pPr>
          </w:p>
        </w:tc>
      </w:tr>
    </w:tbl>
    <w:p w14:paraId="36B6B22D" w14:textId="4E82839F" w:rsidR="00776FBF" w:rsidRPr="008261B1" w:rsidRDefault="00776FBF" w:rsidP="00F30963">
      <w:pPr>
        <w:pStyle w:val="Agency-heading-2"/>
        <w:rPr>
          <w:rFonts w:asciiTheme="majorHAnsi" w:hAnsiTheme="majorHAnsi" w:cstheme="majorHAnsi"/>
        </w:rPr>
      </w:pPr>
      <w:bookmarkStart w:id="11" w:name="_Toc127367772"/>
      <w:r w:rsidRPr="008261B1">
        <w:rPr>
          <w:rFonts w:asciiTheme="majorHAnsi" w:hAnsiTheme="majorHAnsi" w:cstheme="majorHAnsi"/>
          <w:lang w:bidi="it-IT"/>
        </w:rPr>
        <w:lastRenderedPageBreak/>
        <w:t xml:space="preserve">Principio guida 5: </w:t>
      </w:r>
      <w:r w:rsidR="00F720C5">
        <w:rPr>
          <w:rFonts w:asciiTheme="majorHAnsi" w:hAnsiTheme="majorHAnsi" w:cstheme="majorHAnsi"/>
          <w:lang w:bidi="it-IT"/>
        </w:rPr>
        <w:t>I</w:t>
      </w:r>
      <w:r w:rsidR="00F720C5" w:rsidRPr="008261B1">
        <w:rPr>
          <w:rFonts w:asciiTheme="majorHAnsi" w:hAnsiTheme="majorHAnsi" w:cstheme="majorHAnsi"/>
          <w:lang w:bidi="it-IT"/>
        </w:rPr>
        <w:t xml:space="preserve">ncoraggiare </w:t>
      </w:r>
      <w:r w:rsidRPr="008261B1">
        <w:rPr>
          <w:rFonts w:asciiTheme="majorHAnsi" w:hAnsiTheme="majorHAnsi" w:cstheme="majorHAnsi"/>
          <w:lang w:bidi="it-IT"/>
        </w:rPr>
        <w:t>il coinvolgimento attivo degli stakeholder</w:t>
      </w:r>
      <w:bookmarkEnd w:id="11"/>
    </w:p>
    <w:p w14:paraId="19DE2D6F" w14:textId="056A8938" w:rsidR="00776FBF" w:rsidRPr="008261B1" w:rsidRDefault="00776FBF" w:rsidP="00F30963">
      <w:pPr>
        <w:pStyle w:val="Agency-heading-3"/>
        <w:rPr>
          <w:rFonts w:asciiTheme="majorHAnsi" w:hAnsiTheme="majorHAnsi" w:cstheme="majorHAnsi"/>
        </w:rPr>
      </w:pPr>
      <w:r w:rsidRPr="008261B1">
        <w:rPr>
          <w:rFonts w:asciiTheme="majorHAnsi" w:hAnsiTheme="majorHAnsi" w:cstheme="majorHAnsi"/>
          <w:lang w:bidi="it-IT"/>
        </w:rPr>
        <w:t xml:space="preserve">Priorità/strategia politica 5.1: sono in atto politiche e strategie nazionali complete, che sono state sviluppate a seguito di </w:t>
      </w:r>
      <w:r w:rsidRPr="008261B1">
        <w:rPr>
          <w:rFonts w:asciiTheme="majorHAnsi" w:hAnsiTheme="majorHAnsi" w:cstheme="majorHAnsi"/>
          <w:i/>
          <w:lang w:bidi="it-IT"/>
        </w:rPr>
        <w:t>un’ampia consultazione</w:t>
      </w:r>
      <w:r w:rsidRPr="008261B1">
        <w:rPr>
          <w:rFonts w:asciiTheme="majorHAnsi" w:hAnsiTheme="majorHAnsi" w:cstheme="majorHAnsi"/>
          <w:lang w:bidi="it-IT"/>
        </w:rPr>
        <w:t xml:space="preserve"> con tutti gli stakeholder, sostenute da una visione chiara e da una decisa volontà politica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261B1" w14:paraId="1FA24FA5" w14:textId="77777777" w:rsidTr="00C01411">
        <w:trPr>
          <w:cantSplit/>
          <w:tblHeader/>
        </w:trPr>
        <w:tc>
          <w:tcPr>
            <w:tcW w:w="2250" w:type="pct"/>
            <w:shd w:val="clear" w:color="auto" w:fill="D9D9D9" w:themeFill="background1" w:themeFillShade="D9"/>
          </w:tcPr>
          <w:p w14:paraId="7B81C0EE"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Azione chiave</w:t>
            </w:r>
          </w:p>
        </w:tc>
        <w:tc>
          <w:tcPr>
            <w:tcW w:w="500" w:type="pct"/>
            <w:shd w:val="clear" w:color="auto" w:fill="D9D9D9" w:themeFill="background1" w:themeFillShade="D9"/>
          </w:tcPr>
          <w:p w14:paraId="3BD360D9"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0 – Non ancora</w:t>
            </w:r>
          </w:p>
        </w:tc>
        <w:tc>
          <w:tcPr>
            <w:tcW w:w="500" w:type="pct"/>
            <w:shd w:val="clear" w:color="auto" w:fill="D9D9D9" w:themeFill="background1" w:themeFillShade="D9"/>
          </w:tcPr>
          <w:p w14:paraId="37373E5F"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1 – In programma</w:t>
            </w:r>
          </w:p>
        </w:tc>
        <w:tc>
          <w:tcPr>
            <w:tcW w:w="500" w:type="pct"/>
            <w:shd w:val="clear" w:color="auto" w:fill="D9D9D9" w:themeFill="background1" w:themeFillShade="D9"/>
          </w:tcPr>
          <w:p w14:paraId="5D609EAC"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2 – Parzialmente in atto</w:t>
            </w:r>
          </w:p>
        </w:tc>
        <w:tc>
          <w:tcPr>
            <w:tcW w:w="500" w:type="pct"/>
            <w:shd w:val="clear" w:color="auto" w:fill="D9D9D9" w:themeFill="background1" w:themeFillShade="D9"/>
          </w:tcPr>
          <w:p w14:paraId="5EB4165B"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3 – In atto</w:t>
            </w:r>
          </w:p>
        </w:tc>
        <w:tc>
          <w:tcPr>
            <w:tcW w:w="750" w:type="pct"/>
            <w:shd w:val="clear" w:color="auto" w:fill="D9D9D9" w:themeFill="background1" w:themeFillShade="D9"/>
          </w:tcPr>
          <w:p w14:paraId="3DCA9426"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Commenti</w:t>
            </w:r>
          </w:p>
        </w:tc>
      </w:tr>
      <w:tr w:rsidR="00776FBF" w:rsidRPr="008261B1" w14:paraId="4854AC68" w14:textId="77777777" w:rsidTr="00C01411">
        <w:trPr>
          <w:cantSplit/>
        </w:trPr>
        <w:tc>
          <w:tcPr>
            <w:tcW w:w="2250" w:type="pct"/>
          </w:tcPr>
          <w:p w14:paraId="30D63E9D"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5.1.1</w:t>
            </w:r>
            <w:r w:rsidRPr="008261B1">
              <w:rPr>
                <w:rFonts w:asciiTheme="majorHAnsi" w:hAnsiTheme="majorHAnsi" w:cstheme="majorHAnsi"/>
                <w:sz w:val="22"/>
                <w:lang w:bidi="it-IT"/>
              </w:rPr>
              <w:t>: la legislazione nazionale prevede misure/processi che incoraggiano la partecipazione degli stakeholder?</w:t>
            </w:r>
          </w:p>
        </w:tc>
        <w:tc>
          <w:tcPr>
            <w:tcW w:w="500" w:type="pct"/>
          </w:tcPr>
          <w:p w14:paraId="262CE66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390B1D3"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0102B769"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042DCC2"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001BDF5D"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2308E701" w14:textId="77777777" w:rsidTr="00C01411">
        <w:trPr>
          <w:cantSplit/>
        </w:trPr>
        <w:tc>
          <w:tcPr>
            <w:tcW w:w="2250" w:type="pct"/>
          </w:tcPr>
          <w:p w14:paraId="7366DF68"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5.1.2</w:t>
            </w:r>
            <w:r w:rsidRPr="008261B1">
              <w:rPr>
                <w:rFonts w:asciiTheme="majorHAnsi" w:hAnsiTheme="majorHAnsi" w:cstheme="majorHAnsi"/>
                <w:sz w:val="22"/>
                <w:lang w:bidi="it-IT"/>
              </w:rPr>
              <w:t>: sono in atto processi per garantire lo stesso livello di coinvolgimento degli stakeholder nell’insegnamento nella prima infanzia e nell’istruzione primaria e secondaria?</w:t>
            </w:r>
          </w:p>
        </w:tc>
        <w:tc>
          <w:tcPr>
            <w:tcW w:w="500" w:type="pct"/>
          </w:tcPr>
          <w:p w14:paraId="4C9587E6"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F8B6AC8"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28C4788"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AA1142F"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30901881"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532119AE" w14:textId="77777777" w:rsidTr="00C01411">
        <w:trPr>
          <w:cantSplit/>
        </w:trPr>
        <w:tc>
          <w:tcPr>
            <w:tcW w:w="2250" w:type="pct"/>
          </w:tcPr>
          <w:p w14:paraId="2792D88C" w14:textId="631ECB5C"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5.1.3</w:t>
            </w:r>
            <w:r w:rsidRPr="008261B1">
              <w:rPr>
                <w:rFonts w:asciiTheme="majorHAnsi" w:hAnsiTheme="majorHAnsi" w:cstheme="majorHAnsi"/>
                <w:sz w:val="22"/>
                <w:lang w:bidi="it-IT"/>
              </w:rPr>
              <w:t>: il coinvolgimento degli stakeholder è coerente tra le varie regioni/comuni?</w:t>
            </w:r>
          </w:p>
        </w:tc>
        <w:tc>
          <w:tcPr>
            <w:tcW w:w="500" w:type="pct"/>
          </w:tcPr>
          <w:p w14:paraId="478A3BC4"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D239DEE"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A6E7120"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9F6C545"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0AFAD098"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60A48CEC" w14:textId="77777777" w:rsidTr="00C01411">
        <w:trPr>
          <w:cantSplit/>
        </w:trPr>
        <w:tc>
          <w:tcPr>
            <w:tcW w:w="2250" w:type="pct"/>
          </w:tcPr>
          <w:p w14:paraId="37E30679"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sz w:val="22"/>
                <w:lang w:bidi="it-IT"/>
              </w:rPr>
              <w:t>Altro</w:t>
            </w:r>
            <w:r w:rsidRPr="008261B1">
              <w:rPr>
                <w:rFonts w:asciiTheme="majorHAnsi" w:hAnsiTheme="majorHAnsi" w:cstheme="majorHAnsi"/>
                <w:i/>
                <w:sz w:val="22"/>
                <w:lang w:bidi="it-IT"/>
              </w:rPr>
              <w:t xml:space="preserve"> (specificare)</w:t>
            </w:r>
          </w:p>
        </w:tc>
        <w:tc>
          <w:tcPr>
            <w:tcW w:w="500" w:type="pct"/>
          </w:tcPr>
          <w:p w14:paraId="1B7C16C4"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028229A2"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5683E9D1"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DADD916"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316DE986" w14:textId="77777777" w:rsidR="00776FBF" w:rsidRPr="008261B1" w:rsidRDefault="00776FBF" w:rsidP="00591FE3">
            <w:pPr>
              <w:pStyle w:val="Agency-body-text"/>
              <w:rPr>
                <w:rFonts w:asciiTheme="majorHAnsi" w:hAnsiTheme="majorHAnsi" w:cstheme="majorHAnsi"/>
                <w:sz w:val="22"/>
                <w:szCs w:val="22"/>
              </w:rPr>
            </w:pPr>
          </w:p>
        </w:tc>
      </w:tr>
    </w:tbl>
    <w:p w14:paraId="23BF325F" w14:textId="1F1E2DA0" w:rsidR="00776FBF" w:rsidRPr="008261B1" w:rsidRDefault="00776FBF" w:rsidP="00F30963">
      <w:pPr>
        <w:pStyle w:val="Agency-heading-3"/>
        <w:rPr>
          <w:rFonts w:asciiTheme="majorHAnsi" w:hAnsiTheme="majorHAnsi" w:cstheme="majorHAnsi"/>
        </w:rPr>
      </w:pPr>
      <w:r w:rsidRPr="008261B1">
        <w:rPr>
          <w:rFonts w:asciiTheme="majorHAnsi" w:hAnsiTheme="majorHAnsi" w:cstheme="majorHAnsi"/>
          <w:lang w:bidi="it-IT"/>
        </w:rPr>
        <w:lastRenderedPageBreak/>
        <w:t xml:space="preserve">Priorità/strategia politica 5.2: la politica garantisce che gli studenti e le famiglie siano gli attori principali e siano considerati una </w:t>
      </w:r>
      <w:r w:rsidRPr="008261B1">
        <w:rPr>
          <w:rFonts w:asciiTheme="majorHAnsi" w:hAnsiTheme="majorHAnsi" w:cstheme="majorHAnsi"/>
          <w:i/>
          <w:lang w:bidi="it-IT"/>
        </w:rPr>
        <w:t>risorsa chiave</w:t>
      </w:r>
      <w:r w:rsidRPr="008261B1">
        <w:rPr>
          <w:rFonts w:asciiTheme="majorHAnsi" w:hAnsiTheme="majorHAnsi" w:cstheme="majorHAnsi"/>
          <w:lang w:bidi="it-IT"/>
        </w:rPr>
        <w:t xml:space="preserve"> nel processo di apprendimento e insegnamento</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261B1" w14:paraId="199E1511" w14:textId="77777777" w:rsidTr="00C01411">
        <w:trPr>
          <w:cantSplit/>
          <w:tblHeader/>
        </w:trPr>
        <w:tc>
          <w:tcPr>
            <w:tcW w:w="2250" w:type="pct"/>
            <w:shd w:val="clear" w:color="auto" w:fill="D9D9D9" w:themeFill="background1" w:themeFillShade="D9"/>
          </w:tcPr>
          <w:p w14:paraId="78FC2AEB"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Azione chiave</w:t>
            </w:r>
          </w:p>
        </w:tc>
        <w:tc>
          <w:tcPr>
            <w:tcW w:w="500" w:type="pct"/>
            <w:shd w:val="clear" w:color="auto" w:fill="D9D9D9" w:themeFill="background1" w:themeFillShade="D9"/>
          </w:tcPr>
          <w:p w14:paraId="7D07735A"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0 – Non ancora</w:t>
            </w:r>
          </w:p>
        </w:tc>
        <w:tc>
          <w:tcPr>
            <w:tcW w:w="500" w:type="pct"/>
            <w:shd w:val="clear" w:color="auto" w:fill="D9D9D9" w:themeFill="background1" w:themeFillShade="D9"/>
          </w:tcPr>
          <w:p w14:paraId="21E138CF"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1 – In programma</w:t>
            </w:r>
          </w:p>
        </w:tc>
        <w:tc>
          <w:tcPr>
            <w:tcW w:w="500" w:type="pct"/>
            <w:shd w:val="clear" w:color="auto" w:fill="D9D9D9" w:themeFill="background1" w:themeFillShade="D9"/>
          </w:tcPr>
          <w:p w14:paraId="584D3371"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2 – Parzialmente in atto</w:t>
            </w:r>
          </w:p>
        </w:tc>
        <w:tc>
          <w:tcPr>
            <w:tcW w:w="500" w:type="pct"/>
            <w:shd w:val="clear" w:color="auto" w:fill="D9D9D9" w:themeFill="background1" w:themeFillShade="D9"/>
          </w:tcPr>
          <w:p w14:paraId="24BB5284"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3 – In atto</w:t>
            </w:r>
          </w:p>
        </w:tc>
        <w:tc>
          <w:tcPr>
            <w:tcW w:w="750" w:type="pct"/>
            <w:shd w:val="clear" w:color="auto" w:fill="D9D9D9" w:themeFill="background1" w:themeFillShade="D9"/>
          </w:tcPr>
          <w:p w14:paraId="41594AF9"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Commenti</w:t>
            </w:r>
          </w:p>
        </w:tc>
      </w:tr>
      <w:tr w:rsidR="00776FBF" w:rsidRPr="008261B1" w14:paraId="59DF8B83" w14:textId="77777777" w:rsidTr="00C01411">
        <w:trPr>
          <w:cantSplit/>
        </w:trPr>
        <w:tc>
          <w:tcPr>
            <w:tcW w:w="2250" w:type="pct"/>
          </w:tcPr>
          <w:p w14:paraId="609AE226" w14:textId="66BEBEA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5.2.1</w:t>
            </w:r>
            <w:r w:rsidRPr="008261B1">
              <w:rPr>
                <w:rFonts w:asciiTheme="majorHAnsi" w:hAnsiTheme="majorHAnsi" w:cstheme="majorHAnsi"/>
                <w:sz w:val="22"/>
                <w:lang w:bidi="it-IT"/>
              </w:rPr>
              <w:t>: esistono opportunità eque di partecipazione per tutte le famiglie/gli studenti provenienti da contesti diversi sia nell’offerta educativa ordinaria che nelle prestazioni (ad es. famiglie e studenti che partecipano alla progettazione di piani educativi individuali)?</w:t>
            </w:r>
          </w:p>
        </w:tc>
        <w:tc>
          <w:tcPr>
            <w:tcW w:w="500" w:type="pct"/>
          </w:tcPr>
          <w:p w14:paraId="30E2B5C1"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046380D0"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8515AEA"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419BB6A"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4A37CDD0"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100B5E2F" w14:textId="77777777" w:rsidTr="00C01411">
        <w:trPr>
          <w:cantSplit/>
        </w:trPr>
        <w:tc>
          <w:tcPr>
            <w:tcW w:w="2250" w:type="pct"/>
          </w:tcPr>
          <w:p w14:paraId="6FF81075" w14:textId="5BDA84F8"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5.2.2</w:t>
            </w:r>
            <w:r w:rsidRPr="008261B1">
              <w:rPr>
                <w:rFonts w:asciiTheme="majorHAnsi" w:hAnsiTheme="majorHAnsi" w:cstheme="majorHAnsi"/>
                <w:sz w:val="22"/>
                <w:lang w:bidi="it-IT"/>
              </w:rPr>
              <w:t>: esistono canali, strutture e/o organismi di partecipazione (ad es. consigli scolastici e degli studenti, associazioni di famiglie/per disabili) consolidati e coinvolti nel funzionamento della scuola?</w:t>
            </w:r>
          </w:p>
        </w:tc>
        <w:tc>
          <w:tcPr>
            <w:tcW w:w="500" w:type="pct"/>
          </w:tcPr>
          <w:p w14:paraId="1A9C399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65AFF18"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BF92B5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1015B23"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6C122B13"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20A87554" w14:textId="77777777" w:rsidTr="00C01411">
        <w:trPr>
          <w:cantSplit/>
        </w:trPr>
        <w:tc>
          <w:tcPr>
            <w:tcW w:w="2250" w:type="pct"/>
          </w:tcPr>
          <w:p w14:paraId="1F28E24E"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5.2.3</w:t>
            </w:r>
            <w:r w:rsidRPr="008261B1">
              <w:rPr>
                <w:rFonts w:asciiTheme="majorHAnsi" w:hAnsiTheme="majorHAnsi" w:cstheme="majorHAnsi"/>
                <w:sz w:val="22"/>
                <w:lang w:bidi="it-IT"/>
              </w:rPr>
              <w:t>: le famiglie e gli studenti possono influenzare le decisioni relative al processo di insegnamento e apprendimento?</w:t>
            </w:r>
          </w:p>
        </w:tc>
        <w:tc>
          <w:tcPr>
            <w:tcW w:w="500" w:type="pct"/>
          </w:tcPr>
          <w:p w14:paraId="7E7E8AC5"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579EAFDC"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DCD7458"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DF5439D"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552FAA63"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2FC0D4B1" w14:textId="77777777" w:rsidTr="00C01411">
        <w:trPr>
          <w:cantSplit/>
        </w:trPr>
        <w:tc>
          <w:tcPr>
            <w:tcW w:w="2250" w:type="pct"/>
          </w:tcPr>
          <w:p w14:paraId="79A9D76D"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sz w:val="22"/>
                <w:lang w:bidi="it-IT"/>
              </w:rPr>
              <w:t>Altro</w:t>
            </w:r>
            <w:r w:rsidRPr="008261B1">
              <w:rPr>
                <w:rFonts w:asciiTheme="majorHAnsi" w:hAnsiTheme="majorHAnsi" w:cstheme="majorHAnsi"/>
                <w:i/>
                <w:sz w:val="22"/>
                <w:lang w:bidi="it-IT"/>
              </w:rPr>
              <w:t xml:space="preserve"> (specificare)</w:t>
            </w:r>
          </w:p>
        </w:tc>
        <w:tc>
          <w:tcPr>
            <w:tcW w:w="500" w:type="pct"/>
          </w:tcPr>
          <w:p w14:paraId="03BA6E7B"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22D1E28"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37EAA439"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3FAAE152"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1992CCA0" w14:textId="77777777" w:rsidR="00776FBF" w:rsidRPr="008261B1" w:rsidRDefault="00776FBF" w:rsidP="00591FE3">
            <w:pPr>
              <w:pStyle w:val="Agency-body-text"/>
              <w:rPr>
                <w:rFonts w:asciiTheme="majorHAnsi" w:hAnsiTheme="majorHAnsi" w:cstheme="majorHAnsi"/>
                <w:sz w:val="22"/>
                <w:szCs w:val="22"/>
              </w:rPr>
            </w:pPr>
          </w:p>
        </w:tc>
      </w:tr>
    </w:tbl>
    <w:p w14:paraId="13AC577B" w14:textId="76881767" w:rsidR="00776FBF" w:rsidRPr="008261B1" w:rsidRDefault="00776FBF" w:rsidP="00F30963">
      <w:pPr>
        <w:pStyle w:val="Agency-heading-2"/>
        <w:rPr>
          <w:rFonts w:asciiTheme="majorHAnsi" w:hAnsiTheme="majorHAnsi" w:cstheme="majorHAnsi"/>
        </w:rPr>
      </w:pPr>
      <w:bookmarkStart w:id="12" w:name="_Toc127367773"/>
      <w:r w:rsidRPr="008261B1">
        <w:rPr>
          <w:rFonts w:asciiTheme="majorHAnsi" w:hAnsiTheme="majorHAnsi" w:cstheme="majorHAnsi"/>
          <w:lang w:bidi="it-IT"/>
        </w:rPr>
        <w:lastRenderedPageBreak/>
        <w:t xml:space="preserve">Principio guida 6: </w:t>
      </w:r>
      <w:r w:rsidR="00471B89">
        <w:rPr>
          <w:rFonts w:asciiTheme="majorHAnsi" w:hAnsiTheme="majorHAnsi" w:cstheme="majorHAnsi"/>
          <w:lang w:bidi="it-IT"/>
        </w:rPr>
        <w:t>P</w:t>
      </w:r>
      <w:r w:rsidR="00471B89" w:rsidRPr="008261B1">
        <w:rPr>
          <w:rFonts w:asciiTheme="majorHAnsi" w:hAnsiTheme="majorHAnsi" w:cstheme="majorHAnsi"/>
          <w:lang w:bidi="it-IT"/>
        </w:rPr>
        <w:t xml:space="preserve">romuovere </w:t>
      </w:r>
      <w:r w:rsidRPr="008261B1">
        <w:rPr>
          <w:rFonts w:asciiTheme="majorHAnsi" w:hAnsiTheme="majorHAnsi" w:cstheme="majorHAnsi"/>
          <w:lang w:bidi="it-IT"/>
        </w:rPr>
        <w:t>il monitoraggio e la valutazione continui</w:t>
      </w:r>
      <w:bookmarkEnd w:id="12"/>
    </w:p>
    <w:p w14:paraId="55A4C09B" w14:textId="692BFF59" w:rsidR="00776FBF" w:rsidRPr="008261B1" w:rsidRDefault="00776FBF" w:rsidP="00F30963">
      <w:pPr>
        <w:pStyle w:val="Agency-heading-3"/>
        <w:rPr>
          <w:rFonts w:asciiTheme="majorHAnsi" w:hAnsiTheme="majorHAnsi" w:cstheme="majorHAnsi"/>
        </w:rPr>
      </w:pPr>
      <w:r w:rsidRPr="008261B1">
        <w:rPr>
          <w:rFonts w:asciiTheme="majorHAnsi" w:hAnsiTheme="majorHAnsi" w:cstheme="majorHAnsi"/>
          <w:lang w:bidi="it-IT"/>
        </w:rPr>
        <w:t xml:space="preserve">Priorità/strategia politica 6.1: esistono </w:t>
      </w:r>
      <w:r w:rsidRPr="008261B1">
        <w:rPr>
          <w:rFonts w:asciiTheme="majorHAnsi" w:hAnsiTheme="majorHAnsi" w:cstheme="majorHAnsi"/>
          <w:i/>
          <w:lang w:bidi="it-IT"/>
        </w:rPr>
        <w:t>indicatori di qualità a livello nazionale</w:t>
      </w:r>
      <w:r w:rsidRPr="008261B1">
        <w:rPr>
          <w:rFonts w:asciiTheme="majorHAnsi" w:hAnsiTheme="majorHAnsi" w:cstheme="majorHAnsi"/>
          <w:lang w:bidi="it-IT"/>
        </w:rPr>
        <w:t xml:space="preserve"> dell’educazione inclusiva che tengono conto delle variazioni locali, della diversità delle esigenze degli studenti e del ruolo delle prestazioni</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261B1" w14:paraId="5FBD0BA3" w14:textId="77777777" w:rsidTr="00C01411">
        <w:trPr>
          <w:cantSplit/>
          <w:tblHeader/>
        </w:trPr>
        <w:tc>
          <w:tcPr>
            <w:tcW w:w="2250" w:type="pct"/>
            <w:shd w:val="clear" w:color="auto" w:fill="D9D9D9" w:themeFill="background1" w:themeFillShade="D9"/>
          </w:tcPr>
          <w:p w14:paraId="2C7DD99E"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Azione chiave</w:t>
            </w:r>
          </w:p>
        </w:tc>
        <w:tc>
          <w:tcPr>
            <w:tcW w:w="500" w:type="pct"/>
            <w:shd w:val="clear" w:color="auto" w:fill="D9D9D9" w:themeFill="background1" w:themeFillShade="D9"/>
          </w:tcPr>
          <w:p w14:paraId="73125E08"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0 – Non ancora</w:t>
            </w:r>
          </w:p>
        </w:tc>
        <w:tc>
          <w:tcPr>
            <w:tcW w:w="500" w:type="pct"/>
            <w:shd w:val="clear" w:color="auto" w:fill="D9D9D9" w:themeFill="background1" w:themeFillShade="D9"/>
          </w:tcPr>
          <w:p w14:paraId="22AE5EBB"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1 – In programma</w:t>
            </w:r>
          </w:p>
        </w:tc>
        <w:tc>
          <w:tcPr>
            <w:tcW w:w="500" w:type="pct"/>
            <w:shd w:val="clear" w:color="auto" w:fill="D9D9D9" w:themeFill="background1" w:themeFillShade="D9"/>
          </w:tcPr>
          <w:p w14:paraId="1674EF4C"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2 – Parzialmente in atto</w:t>
            </w:r>
          </w:p>
        </w:tc>
        <w:tc>
          <w:tcPr>
            <w:tcW w:w="500" w:type="pct"/>
            <w:shd w:val="clear" w:color="auto" w:fill="D9D9D9" w:themeFill="background1" w:themeFillShade="D9"/>
          </w:tcPr>
          <w:p w14:paraId="1F0CF567"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3 – In atto</w:t>
            </w:r>
          </w:p>
        </w:tc>
        <w:tc>
          <w:tcPr>
            <w:tcW w:w="750" w:type="pct"/>
            <w:shd w:val="clear" w:color="auto" w:fill="D9D9D9" w:themeFill="background1" w:themeFillShade="D9"/>
          </w:tcPr>
          <w:p w14:paraId="4F2F2C23"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Commenti</w:t>
            </w:r>
          </w:p>
        </w:tc>
      </w:tr>
      <w:tr w:rsidR="00776FBF" w:rsidRPr="008261B1" w14:paraId="2D5895E9" w14:textId="77777777" w:rsidTr="00C01411">
        <w:trPr>
          <w:cantSplit/>
        </w:trPr>
        <w:tc>
          <w:tcPr>
            <w:tcW w:w="2250" w:type="pct"/>
          </w:tcPr>
          <w:p w14:paraId="72744CA5" w14:textId="57EFF0B1"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6.1.1</w:t>
            </w:r>
            <w:r w:rsidRPr="008261B1">
              <w:rPr>
                <w:rFonts w:asciiTheme="majorHAnsi" w:hAnsiTheme="majorHAnsi" w:cstheme="majorHAnsi"/>
                <w:sz w:val="22"/>
                <w:lang w:bidi="it-IT"/>
              </w:rPr>
              <w:t>: gli indicatori rispecchiano una concezione condivisa di prassi inclusive di qualità sia nel settore dell’offerta educativa ordinaria che delle prestazioni?</w:t>
            </w:r>
          </w:p>
        </w:tc>
        <w:tc>
          <w:tcPr>
            <w:tcW w:w="500" w:type="pct"/>
          </w:tcPr>
          <w:p w14:paraId="72AD4D60"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D7E4A64"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0F8DB88"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60ADE54"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3A0001FA"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3F715410" w14:textId="77777777" w:rsidTr="00C01411">
        <w:trPr>
          <w:cantSplit/>
        </w:trPr>
        <w:tc>
          <w:tcPr>
            <w:tcW w:w="2250" w:type="pct"/>
          </w:tcPr>
          <w:p w14:paraId="3A7BC710"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6.1.2</w:t>
            </w:r>
            <w:r w:rsidRPr="008261B1">
              <w:rPr>
                <w:rFonts w:asciiTheme="majorHAnsi" w:hAnsiTheme="majorHAnsi" w:cstheme="majorHAnsi"/>
                <w:sz w:val="22"/>
                <w:lang w:bidi="it-IT"/>
              </w:rPr>
              <w:t>: esiste un mezzo sistematico di raccolta dei dati ai fini dell’educazione inclusiva?</w:t>
            </w:r>
          </w:p>
        </w:tc>
        <w:tc>
          <w:tcPr>
            <w:tcW w:w="500" w:type="pct"/>
          </w:tcPr>
          <w:p w14:paraId="39908C3A"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960579F"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000E64B4"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339FD45"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22B61C88"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3A8E01A1" w14:textId="77777777" w:rsidTr="00C01411">
        <w:trPr>
          <w:cantSplit/>
        </w:trPr>
        <w:tc>
          <w:tcPr>
            <w:tcW w:w="2250" w:type="pct"/>
          </w:tcPr>
          <w:p w14:paraId="79B2CEAA" w14:textId="1B8E2B5A"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6.1.3</w:t>
            </w:r>
            <w:r w:rsidRPr="008261B1">
              <w:rPr>
                <w:rFonts w:asciiTheme="majorHAnsi" w:hAnsiTheme="majorHAnsi" w:cstheme="majorHAnsi"/>
                <w:sz w:val="22"/>
                <w:lang w:bidi="it-IT"/>
              </w:rPr>
              <w:t>: le decisioni si basano su un sistema di raccolta dati valido che copre sia il settore dell’offerta educativa ordinaria che quello delle prestazioni?</w:t>
            </w:r>
          </w:p>
        </w:tc>
        <w:tc>
          <w:tcPr>
            <w:tcW w:w="500" w:type="pct"/>
          </w:tcPr>
          <w:p w14:paraId="5BAF3C54"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CAA43FF"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5AFF738A"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500502C"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4810760F"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1FB0C18F" w14:textId="77777777" w:rsidTr="00C01411">
        <w:trPr>
          <w:cantSplit/>
        </w:trPr>
        <w:tc>
          <w:tcPr>
            <w:tcW w:w="2250" w:type="pct"/>
          </w:tcPr>
          <w:p w14:paraId="74E151B4"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sz w:val="22"/>
                <w:lang w:bidi="it-IT"/>
              </w:rPr>
              <w:t>Altro</w:t>
            </w:r>
            <w:r w:rsidRPr="008261B1">
              <w:rPr>
                <w:rFonts w:asciiTheme="majorHAnsi" w:hAnsiTheme="majorHAnsi" w:cstheme="majorHAnsi"/>
                <w:i/>
                <w:sz w:val="22"/>
                <w:lang w:bidi="it-IT"/>
              </w:rPr>
              <w:t xml:space="preserve"> (specificare)</w:t>
            </w:r>
          </w:p>
        </w:tc>
        <w:tc>
          <w:tcPr>
            <w:tcW w:w="500" w:type="pct"/>
          </w:tcPr>
          <w:p w14:paraId="03086CE4"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5461C19"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DB0F0E9"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816CE92"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0DFF8C29" w14:textId="77777777" w:rsidR="00776FBF" w:rsidRPr="008261B1" w:rsidRDefault="00776FBF" w:rsidP="00591FE3">
            <w:pPr>
              <w:pStyle w:val="Agency-body-text"/>
              <w:rPr>
                <w:rFonts w:asciiTheme="majorHAnsi" w:hAnsiTheme="majorHAnsi" w:cstheme="majorHAnsi"/>
                <w:sz w:val="22"/>
                <w:szCs w:val="22"/>
              </w:rPr>
            </w:pPr>
          </w:p>
        </w:tc>
      </w:tr>
    </w:tbl>
    <w:p w14:paraId="5AFE5B6C" w14:textId="55E78912" w:rsidR="00776FBF" w:rsidRPr="008261B1" w:rsidRDefault="00776FBF" w:rsidP="00F30963">
      <w:pPr>
        <w:pStyle w:val="Agency-heading-3"/>
        <w:rPr>
          <w:rFonts w:asciiTheme="majorHAnsi" w:hAnsiTheme="majorHAnsi" w:cstheme="majorHAnsi"/>
        </w:rPr>
      </w:pPr>
      <w:r w:rsidRPr="008261B1">
        <w:rPr>
          <w:rFonts w:asciiTheme="majorHAnsi" w:hAnsiTheme="majorHAnsi" w:cstheme="majorHAnsi"/>
          <w:lang w:bidi="it-IT"/>
        </w:rPr>
        <w:lastRenderedPageBreak/>
        <w:t xml:space="preserve">Priorità/strategia politica 6.2: sono in atto </w:t>
      </w:r>
      <w:r w:rsidRPr="008261B1">
        <w:rPr>
          <w:rFonts w:asciiTheme="majorHAnsi" w:hAnsiTheme="majorHAnsi" w:cstheme="majorHAnsi"/>
          <w:i/>
          <w:lang w:bidi="it-IT"/>
        </w:rPr>
        <w:t>strutture/processi cooperativi</w:t>
      </w:r>
      <w:r w:rsidRPr="008261B1">
        <w:rPr>
          <w:rFonts w:asciiTheme="majorHAnsi" w:hAnsiTheme="majorHAnsi" w:cstheme="majorHAnsi"/>
          <w:lang w:bidi="it-IT"/>
        </w:rPr>
        <w:t xml:space="preserve"> per il monitoraggio e la valutazione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261B1" w14:paraId="6A443875" w14:textId="77777777" w:rsidTr="00C01411">
        <w:trPr>
          <w:cantSplit/>
          <w:tblHeader/>
        </w:trPr>
        <w:tc>
          <w:tcPr>
            <w:tcW w:w="2250" w:type="pct"/>
            <w:shd w:val="clear" w:color="auto" w:fill="D9D9D9" w:themeFill="background1" w:themeFillShade="D9"/>
          </w:tcPr>
          <w:p w14:paraId="6B061B38"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Azione chiave</w:t>
            </w:r>
          </w:p>
        </w:tc>
        <w:tc>
          <w:tcPr>
            <w:tcW w:w="500" w:type="pct"/>
            <w:shd w:val="clear" w:color="auto" w:fill="D9D9D9" w:themeFill="background1" w:themeFillShade="D9"/>
          </w:tcPr>
          <w:p w14:paraId="644F1D24"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0 – Non ancora</w:t>
            </w:r>
          </w:p>
        </w:tc>
        <w:tc>
          <w:tcPr>
            <w:tcW w:w="500" w:type="pct"/>
            <w:shd w:val="clear" w:color="auto" w:fill="D9D9D9" w:themeFill="background1" w:themeFillShade="D9"/>
          </w:tcPr>
          <w:p w14:paraId="4A1DDA33"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1 – In programma</w:t>
            </w:r>
          </w:p>
        </w:tc>
        <w:tc>
          <w:tcPr>
            <w:tcW w:w="500" w:type="pct"/>
            <w:shd w:val="clear" w:color="auto" w:fill="D9D9D9" w:themeFill="background1" w:themeFillShade="D9"/>
          </w:tcPr>
          <w:p w14:paraId="7648B47C"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2 – Parzialmente in atto</w:t>
            </w:r>
          </w:p>
        </w:tc>
        <w:tc>
          <w:tcPr>
            <w:tcW w:w="500" w:type="pct"/>
            <w:shd w:val="clear" w:color="auto" w:fill="D9D9D9" w:themeFill="background1" w:themeFillShade="D9"/>
          </w:tcPr>
          <w:p w14:paraId="5E40F0B5"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3 – In atto</w:t>
            </w:r>
          </w:p>
        </w:tc>
        <w:tc>
          <w:tcPr>
            <w:tcW w:w="750" w:type="pct"/>
            <w:shd w:val="clear" w:color="auto" w:fill="D9D9D9" w:themeFill="background1" w:themeFillShade="D9"/>
          </w:tcPr>
          <w:p w14:paraId="7C5F2CBD"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Commenti</w:t>
            </w:r>
          </w:p>
        </w:tc>
      </w:tr>
      <w:tr w:rsidR="00776FBF" w:rsidRPr="008261B1" w14:paraId="4E11E087" w14:textId="77777777" w:rsidTr="00C01411">
        <w:trPr>
          <w:cantSplit/>
        </w:trPr>
        <w:tc>
          <w:tcPr>
            <w:tcW w:w="2250" w:type="pct"/>
          </w:tcPr>
          <w:p w14:paraId="5636CCA0"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6.2.1</w:t>
            </w:r>
            <w:r w:rsidRPr="008261B1">
              <w:rPr>
                <w:rFonts w:asciiTheme="majorHAnsi" w:hAnsiTheme="majorHAnsi" w:cstheme="majorHAnsi"/>
                <w:sz w:val="22"/>
                <w:lang w:bidi="it-IT"/>
              </w:rPr>
              <w:t>: la creazione degli indicatori di monitoraggio e autovalutazione è il frutto della collaborazione tra i professionisti dell’offerta educativa ordinaria e quelli delle prestazioni per garantire una concezione condivisa ed evitare resistenze?</w:t>
            </w:r>
          </w:p>
        </w:tc>
        <w:tc>
          <w:tcPr>
            <w:tcW w:w="500" w:type="pct"/>
          </w:tcPr>
          <w:p w14:paraId="0F54F417"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924C14A"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21810CC"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0491E94"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6026DDA5"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6031685F" w14:textId="77777777" w:rsidTr="00C01411">
        <w:trPr>
          <w:cantSplit/>
        </w:trPr>
        <w:tc>
          <w:tcPr>
            <w:tcW w:w="2250" w:type="pct"/>
          </w:tcPr>
          <w:p w14:paraId="1EDF6FDD" w14:textId="43BA0AAF"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6.2.2</w:t>
            </w:r>
            <w:r w:rsidRPr="008261B1">
              <w:rPr>
                <w:rFonts w:asciiTheme="majorHAnsi" w:hAnsiTheme="majorHAnsi" w:cstheme="majorHAnsi"/>
                <w:sz w:val="22"/>
                <w:lang w:bidi="it-IT"/>
              </w:rPr>
              <w:t>: esistono iniziative/programmi per aumentare le conoscenze e le abilità dei principali stakeholder, sia del settore dell’offerta educativa ordinaria che di quello delle prestazioni, nell’analisi e nell’utilizzo dei dati?</w:t>
            </w:r>
          </w:p>
        </w:tc>
        <w:tc>
          <w:tcPr>
            <w:tcW w:w="500" w:type="pct"/>
          </w:tcPr>
          <w:p w14:paraId="7CD33C6F"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EC275A5"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5281695"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3DF70B3A"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49767348"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115E0105" w14:textId="77777777" w:rsidTr="00C01411">
        <w:trPr>
          <w:cantSplit/>
        </w:trPr>
        <w:tc>
          <w:tcPr>
            <w:tcW w:w="2250" w:type="pct"/>
          </w:tcPr>
          <w:p w14:paraId="627DEED5" w14:textId="75FE8330"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6.2.3</w:t>
            </w:r>
            <w:r w:rsidRPr="008261B1">
              <w:rPr>
                <w:rFonts w:asciiTheme="majorHAnsi" w:hAnsiTheme="majorHAnsi" w:cstheme="majorHAnsi"/>
                <w:sz w:val="22"/>
                <w:lang w:bidi="it-IT"/>
              </w:rPr>
              <w:t>: esiste una collaborazione efficace tra la scuola, le autorità educative e le università per il monitoraggio e l’utilizzo dei dati?</w:t>
            </w:r>
          </w:p>
        </w:tc>
        <w:tc>
          <w:tcPr>
            <w:tcW w:w="500" w:type="pct"/>
          </w:tcPr>
          <w:p w14:paraId="144057EB"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0379937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A1BCFF7"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806215A"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2E3A65BE"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79040687" w14:textId="77777777" w:rsidTr="00C01411">
        <w:trPr>
          <w:cantSplit/>
        </w:trPr>
        <w:tc>
          <w:tcPr>
            <w:tcW w:w="2250" w:type="pct"/>
          </w:tcPr>
          <w:p w14:paraId="5E59CBDF"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sz w:val="22"/>
                <w:lang w:bidi="it-IT"/>
              </w:rPr>
              <w:t>Altro</w:t>
            </w:r>
            <w:r w:rsidRPr="008261B1">
              <w:rPr>
                <w:rFonts w:asciiTheme="majorHAnsi" w:hAnsiTheme="majorHAnsi" w:cstheme="majorHAnsi"/>
                <w:i/>
                <w:sz w:val="22"/>
                <w:lang w:bidi="it-IT"/>
              </w:rPr>
              <w:t xml:space="preserve"> (specificare)</w:t>
            </w:r>
          </w:p>
        </w:tc>
        <w:tc>
          <w:tcPr>
            <w:tcW w:w="500" w:type="pct"/>
          </w:tcPr>
          <w:p w14:paraId="35EF068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DDB0F36"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7E3691A"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A43E628"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19E172F6" w14:textId="77777777" w:rsidR="00776FBF" w:rsidRPr="008261B1" w:rsidRDefault="00776FBF" w:rsidP="00591FE3">
            <w:pPr>
              <w:pStyle w:val="Agency-body-text"/>
              <w:rPr>
                <w:rFonts w:asciiTheme="majorHAnsi" w:hAnsiTheme="majorHAnsi" w:cstheme="majorHAnsi"/>
                <w:sz w:val="22"/>
                <w:szCs w:val="22"/>
              </w:rPr>
            </w:pPr>
          </w:p>
        </w:tc>
      </w:tr>
    </w:tbl>
    <w:p w14:paraId="2A7B6DF8" w14:textId="10B287CF" w:rsidR="00776FBF" w:rsidRPr="008261B1" w:rsidRDefault="00776FBF" w:rsidP="00F30963">
      <w:pPr>
        <w:pStyle w:val="Agency-heading-3"/>
        <w:rPr>
          <w:rFonts w:asciiTheme="majorHAnsi" w:hAnsiTheme="majorHAnsi" w:cstheme="majorHAnsi"/>
        </w:rPr>
      </w:pPr>
      <w:r w:rsidRPr="008261B1">
        <w:rPr>
          <w:rFonts w:asciiTheme="majorHAnsi" w:hAnsiTheme="majorHAnsi" w:cstheme="majorHAnsi"/>
          <w:lang w:bidi="it-IT"/>
        </w:rPr>
        <w:t xml:space="preserve">Priorità/strategia politica 6.3: esiste un </w:t>
      </w:r>
      <w:r w:rsidRPr="008261B1">
        <w:rPr>
          <w:rFonts w:asciiTheme="majorHAnsi" w:hAnsiTheme="majorHAnsi" w:cstheme="majorHAnsi"/>
          <w:i/>
          <w:lang w:bidi="it-IT"/>
        </w:rPr>
        <w:t>sistema completo per monitorare</w:t>
      </w:r>
      <w:r w:rsidRPr="008261B1">
        <w:rPr>
          <w:rFonts w:asciiTheme="majorHAnsi" w:hAnsiTheme="majorHAnsi" w:cstheme="majorHAnsi"/>
          <w:lang w:bidi="it-IT"/>
        </w:rPr>
        <w:t xml:space="preserve"> il modo in cui le prestazioni sostengono il settore ordinario nell’attuazione dell’educazione inclusiva (che comprende i sottosistemi di valutazione interna ed esterna)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261B1" w14:paraId="110F4F0B" w14:textId="77777777" w:rsidTr="00C01411">
        <w:trPr>
          <w:cantSplit/>
          <w:tblHeader/>
        </w:trPr>
        <w:tc>
          <w:tcPr>
            <w:tcW w:w="2250" w:type="pct"/>
            <w:shd w:val="clear" w:color="auto" w:fill="D9D9D9" w:themeFill="background1" w:themeFillShade="D9"/>
          </w:tcPr>
          <w:p w14:paraId="5C367F8F"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Azione chiave</w:t>
            </w:r>
          </w:p>
        </w:tc>
        <w:tc>
          <w:tcPr>
            <w:tcW w:w="500" w:type="pct"/>
            <w:shd w:val="clear" w:color="auto" w:fill="D9D9D9" w:themeFill="background1" w:themeFillShade="D9"/>
          </w:tcPr>
          <w:p w14:paraId="31C88131"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0 – Non ancora</w:t>
            </w:r>
          </w:p>
        </w:tc>
        <w:tc>
          <w:tcPr>
            <w:tcW w:w="500" w:type="pct"/>
            <w:shd w:val="clear" w:color="auto" w:fill="D9D9D9" w:themeFill="background1" w:themeFillShade="D9"/>
          </w:tcPr>
          <w:p w14:paraId="74111262"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1 – In programma</w:t>
            </w:r>
          </w:p>
        </w:tc>
        <w:tc>
          <w:tcPr>
            <w:tcW w:w="500" w:type="pct"/>
            <w:shd w:val="clear" w:color="auto" w:fill="D9D9D9" w:themeFill="background1" w:themeFillShade="D9"/>
          </w:tcPr>
          <w:p w14:paraId="4DFB34C8"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2 – Parzialmente in atto</w:t>
            </w:r>
          </w:p>
        </w:tc>
        <w:tc>
          <w:tcPr>
            <w:tcW w:w="500" w:type="pct"/>
            <w:shd w:val="clear" w:color="auto" w:fill="D9D9D9" w:themeFill="background1" w:themeFillShade="D9"/>
          </w:tcPr>
          <w:p w14:paraId="3924CE2C"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3 – In atto</w:t>
            </w:r>
          </w:p>
        </w:tc>
        <w:tc>
          <w:tcPr>
            <w:tcW w:w="750" w:type="pct"/>
            <w:shd w:val="clear" w:color="auto" w:fill="D9D9D9" w:themeFill="background1" w:themeFillShade="D9"/>
          </w:tcPr>
          <w:p w14:paraId="54064EF1" w14:textId="77777777" w:rsidR="00776FBF" w:rsidRPr="008261B1" w:rsidRDefault="00776FBF" w:rsidP="00591FE3">
            <w:pPr>
              <w:pStyle w:val="Agency-body-text"/>
              <w:rPr>
                <w:rFonts w:asciiTheme="majorHAnsi" w:hAnsiTheme="majorHAnsi" w:cstheme="majorHAnsi"/>
                <w:b/>
                <w:bCs/>
                <w:sz w:val="22"/>
                <w:szCs w:val="22"/>
              </w:rPr>
            </w:pPr>
            <w:r w:rsidRPr="008261B1">
              <w:rPr>
                <w:rFonts w:asciiTheme="majorHAnsi" w:hAnsiTheme="majorHAnsi" w:cstheme="majorHAnsi"/>
                <w:b/>
                <w:sz w:val="22"/>
                <w:lang w:bidi="it-IT"/>
              </w:rPr>
              <w:t>Commenti</w:t>
            </w:r>
          </w:p>
        </w:tc>
      </w:tr>
      <w:tr w:rsidR="00776FBF" w:rsidRPr="008261B1" w14:paraId="226C3EEB" w14:textId="77777777" w:rsidTr="00C01411">
        <w:trPr>
          <w:cantSplit/>
        </w:trPr>
        <w:tc>
          <w:tcPr>
            <w:tcW w:w="2250" w:type="pct"/>
          </w:tcPr>
          <w:p w14:paraId="13580428"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6.3.1</w:t>
            </w:r>
            <w:r w:rsidRPr="008261B1">
              <w:rPr>
                <w:rFonts w:asciiTheme="majorHAnsi" w:hAnsiTheme="majorHAnsi" w:cstheme="majorHAnsi"/>
                <w:sz w:val="22"/>
                <w:lang w:bidi="it-IT"/>
              </w:rPr>
              <w:t>: il sistema di raccolta dati monitora il modo in cui le prestazioni sostengono il settore dell’offerta educativa ordinaria nell’attuazione dell’educazione inclusiva?</w:t>
            </w:r>
          </w:p>
        </w:tc>
        <w:tc>
          <w:tcPr>
            <w:tcW w:w="500" w:type="pct"/>
          </w:tcPr>
          <w:p w14:paraId="32A43DFC"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1EAC303"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06483B76"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C1DCA87"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3DEF5A69"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76A01D61" w14:textId="77777777" w:rsidTr="00C01411">
        <w:trPr>
          <w:cantSplit/>
        </w:trPr>
        <w:tc>
          <w:tcPr>
            <w:tcW w:w="2250" w:type="pct"/>
          </w:tcPr>
          <w:p w14:paraId="2DB68FDE"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lastRenderedPageBreak/>
              <w:t>6.3.2</w:t>
            </w:r>
            <w:r w:rsidRPr="008261B1">
              <w:rPr>
                <w:rFonts w:asciiTheme="majorHAnsi" w:hAnsiTheme="majorHAnsi" w:cstheme="majorHAnsi"/>
                <w:sz w:val="22"/>
                <w:lang w:bidi="it-IT"/>
              </w:rPr>
              <w:t>: i meccanismi di monitoraggio e valutazione rispecchiano un approccio che coinvolge tutti i soggetti del processo educativo e incentrato sulle barriere e sugli elementi abilitanti dell’insegnamento e dell’apprendimento?</w:t>
            </w:r>
          </w:p>
        </w:tc>
        <w:tc>
          <w:tcPr>
            <w:tcW w:w="500" w:type="pct"/>
          </w:tcPr>
          <w:p w14:paraId="4FBA10F6"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30299AFD"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72BABC9"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16A099F"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0BFFFD2B"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6ED635F3" w14:textId="77777777" w:rsidTr="00C01411">
        <w:trPr>
          <w:cantSplit/>
        </w:trPr>
        <w:tc>
          <w:tcPr>
            <w:tcW w:w="2250" w:type="pct"/>
          </w:tcPr>
          <w:p w14:paraId="77940C5E" w14:textId="519E2466"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b/>
                <w:sz w:val="22"/>
                <w:lang w:bidi="it-IT"/>
              </w:rPr>
              <w:t>6.3.3</w:t>
            </w:r>
            <w:r w:rsidRPr="008261B1">
              <w:rPr>
                <w:rFonts w:asciiTheme="majorHAnsi" w:hAnsiTheme="majorHAnsi" w:cstheme="majorHAnsi"/>
                <w:sz w:val="22"/>
                <w:lang w:bidi="it-IT"/>
              </w:rPr>
              <w:t>: vengono affrontate le questioni relative alla privacy, all’etica e alla riduzione dei rischi durante il monitoraggio della cooperazione di entrambi i settori, ossia l’offerta educativa ordinaria e le prestazioni?</w:t>
            </w:r>
          </w:p>
        </w:tc>
        <w:tc>
          <w:tcPr>
            <w:tcW w:w="500" w:type="pct"/>
          </w:tcPr>
          <w:p w14:paraId="05AB755A"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1DC1B345"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2B073309"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4E3DB95C"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30FCD723" w14:textId="77777777" w:rsidR="00776FBF" w:rsidRPr="008261B1" w:rsidRDefault="00776FBF" w:rsidP="00591FE3">
            <w:pPr>
              <w:pStyle w:val="Agency-body-text"/>
              <w:rPr>
                <w:rFonts w:asciiTheme="majorHAnsi" w:hAnsiTheme="majorHAnsi" w:cstheme="majorHAnsi"/>
                <w:sz w:val="22"/>
                <w:szCs w:val="22"/>
              </w:rPr>
            </w:pPr>
          </w:p>
        </w:tc>
      </w:tr>
      <w:tr w:rsidR="00776FBF" w:rsidRPr="008261B1" w14:paraId="032D5D7C" w14:textId="77777777" w:rsidTr="00C01411">
        <w:trPr>
          <w:cantSplit/>
        </w:trPr>
        <w:tc>
          <w:tcPr>
            <w:tcW w:w="2250" w:type="pct"/>
          </w:tcPr>
          <w:p w14:paraId="2AE09C1F" w14:textId="77777777" w:rsidR="00776FBF" w:rsidRPr="008261B1" w:rsidRDefault="00776FBF" w:rsidP="00591FE3">
            <w:pPr>
              <w:pStyle w:val="Agency-body-text"/>
              <w:rPr>
                <w:rFonts w:asciiTheme="majorHAnsi" w:hAnsiTheme="majorHAnsi" w:cstheme="majorHAnsi"/>
                <w:sz w:val="22"/>
                <w:szCs w:val="22"/>
              </w:rPr>
            </w:pPr>
            <w:r w:rsidRPr="008261B1">
              <w:rPr>
                <w:rFonts w:asciiTheme="majorHAnsi" w:hAnsiTheme="majorHAnsi" w:cstheme="majorHAnsi"/>
                <w:sz w:val="22"/>
                <w:lang w:bidi="it-IT"/>
              </w:rPr>
              <w:t>Altro</w:t>
            </w:r>
            <w:r w:rsidRPr="008261B1">
              <w:rPr>
                <w:rFonts w:asciiTheme="majorHAnsi" w:hAnsiTheme="majorHAnsi" w:cstheme="majorHAnsi"/>
                <w:i/>
                <w:sz w:val="22"/>
                <w:lang w:bidi="it-IT"/>
              </w:rPr>
              <w:t xml:space="preserve"> (specificare)</w:t>
            </w:r>
          </w:p>
        </w:tc>
        <w:tc>
          <w:tcPr>
            <w:tcW w:w="500" w:type="pct"/>
          </w:tcPr>
          <w:p w14:paraId="05D21A05"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683CF39A"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055A4738" w14:textId="77777777" w:rsidR="00776FBF" w:rsidRPr="008261B1" w:rsidRDefault="00776FBF" w:rsidP="00591FE3">
            <w:pPr>
              <w:pStyle w:val="Agency-body-text"/>
              <w:rPr>
                <w:rFonts w:asciiTheme="majorHAnsi" w:hAnsiTheme="majorHAnsi" w:cstheme="majorHAnsi"/>
                <w:sz w:val="22"/>
                <w:szCs w:val="22"/>
              </w:rPr>
            </w:pPr>
          </w:p>
        </w:tc>
        <w:tc>
          <w:tcPr>
            <w:tcW w:w="500" w:type="pct"/>
          </w:tcPr>
          <w:p w14:paraId="736AF4E0" w14:textId="77777777" w:rsidR="00776FBF" w:rsidRPr="008261B1" w:rsidRDefault="00776FBF" w:rsidP="00591FE3">
            <w:pPr>
              <w:pStyle w:val="Agency-body-text"/>
              <w:rPr>
                <w:rFonts w:asciiTheme="majorHAnsi" w:hAnsiTheme="majorHAnsi" w:cstheme="majorHAnsi"/>
                <w:sz w:val="22"/>
                <w:szCs w:val="22"/>
              </w:rPr>
            </w:pPr>
          </w:p>
        </w:tc>
        <w:tc>
          <w:tcPr>
            <w:tcW w:w="750" w:type="pct"/>
          </w:tcPr>
          <w:p w14:paraId="694124CB" w14:textId="77777777" w:rsidR="00776FBF" w:rsidRPr="008261B1" w:rsidRDefault="00776FBF" w:rsidP="00591FE3">
            <w:pPr>
              <w:pStyle w:val="Agency-body-text"/>
              <w:rPr>
                <w:rFonts w:asciiTheme="majorHAnsi" w:hAnsiTheme="majorHAnsi" w:cstheme="majorHAnsi"/>
                <w:sz w:val="22"/>
                <w:szCs w:val="22"/>
              </w:rPr>
            </w:pPr>
          </w:p>
        </w:tc>
      </w:tr>
    </w:tbl>
    <w:p w14:paraId="7E681A70" w14:textId="77777777" w:rsidR="00776FBF" w:rsidRPr="008261B1" w:rsidRDefault="00776FBF" w:rsidP="00591FE3">
      <w:pPr>
        <w:pStyle w:val="Agency-body-text"/>
        <w:rPr>
          <w:rFonts w:asciiTheme="majorHAnsi" w:hAnsiTheme="majorHAnsi" w:cstheme="majorHAnsi"/>
        </w:rPr>
      </w:pPr>
    </w:p>
    <w:p w14:paraId="7ACB23F6" w14:textId="77777777" w:rsidR="00776FBF" w:rsidRPr="008261B1" w:rsidRDefault="00776FBF" w:rsidP="00591FE3">
      <w:pPr>
        <w:pStyle w:val="Agency-body-text"/>
        <w:rPr>
          <w:rFonts w:asciiTheme="majorHAnsi" w:hAnsiTheme="majorHAnsi" w:cstheme="majorHAnsi"/>
        </w:rPr>
        <w:sectPr w:rsidR="00776FBF" w:rsidRPr="008261B1" w:rsidSect="002E592F">
          <w:headerReference w:type="even" r:id="rId24"/>
          <w:headerReference w:type="default" r:id="rId25"/>
          <w:footerReference w:type="default" r:id="rId26"/>
          <w:headerReference w:type="first" r:id="rId27"/>
          <w:footerReference w:type="first" r:id="rId28"/>
          <w:pgSz w:w="16840" w:h="11900" w:orient="landscape"/>
          <w:pgMar w:top="1531" w:right="1276" w:bottom="1531" w:left="1134" w:header="709" w:footer="828" w:gutter="0"/>
          <w:cols w:space="708"/>
          <w:docGrid w:linePitch="360"/>
        </w:sectPr>
      </w:pPr>
    </w:p>
    <w:p w14:paraId="5E2F8D13" w14:textId="0B833F43" w:rsidR="00776FBF" w:rsidRPr="008261B1" w:rsidRDefault="00776FBF" w:rsidP="00907466">
      <w:pPr>
        <w:pStyle w:val="Agency-heading-1"/>
        <w:rPr>
          <w:rFonts w:asciiTheme="majorHAnsi" w:hAnsiTheme="majorHAnsi" w:cstheme="majorHAnsi"/>
        </w:rPr>
      </w:pPr>
      <w:bookmarkStart w:id="13" w:name="_Toc127367774"/>
      <w:r w:rsidRPr="008261B1">
        <w:rPr>
          <w:rFonts w:asciiTheme="majorHAnsi" w:hAnsiTheme="majorHAnsi" w:cstheme="majorHAnsi"/>
          <w:lang w:bidi="it-IT"/>
        </w:rPr>
        <w:lastRenderedPageBreak/>
        <w:t>Allegato 1: glossario dei termini</w:t>
      </w:r>
      <w:bookmarkEnd w:id="13"/>
    </w:p>
    <w:p w14:paraId="1E0FB097" w14:textId="71C7C216" w:rsidR="009C62BC"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t xml:space="preserve">Questo allegato illustra definizioni e chiarimenti in merito ai termini chiave utilizzati nello strumento. Contiene termini tratti dal </w:t>
      </w:r>
      <w:hyperlink r:id="rId29" w:history="1">
        <w:r w:rsidRPr="008261B1">
          <w:rPr>
            <w:rStyle w:val="Hyperlink"/>
            <w:rFonts w:asciiTheme="majorHAnsi" w:hAnsiTheme="majorHAnsi" w:cstheme="majorHAnsi"/>
            <w:lang w:bidi="it-IT"/>
          </w:rPr>
          <w:t>glossario</w:t>
        </w:r>
      </w:hyperlink>
      <w:r w:rsidRPr="008261B1">
        <w:rPr>
          <w:rFonts w:asciiTheme="majorHAnsi" w:hAnsiTheme="majorHAnsi" w:cstheme="majorHAnsi"/>
          <w:lang w:bidi="it-IT"/>
        </w:rPr>
        <w:t xml:space="preserve"> dell’Agenzia, disponibile online, oltre a termini specificamente connessi al progetto CROSP.</w:t>
      </w:r>
    </w:p>
    <w:p w14:paraId="06FA3840" w14:textId="77777777" w:rsidR="008261B1" w:rsidRDefault="008261B1" w:rsidP="008261B1">
      <w:pPr>
        <w:pStyle w:val="Agency-body-text"/>
        <w:rPr>
          <w:rFonts w:asciiTheme="majorHAnsi" w:hAnsiTheme="majorHAnsi" w:cstheme="majorHAnsi"/>
          <w:lang w:bidi="it-IT"/>
        </w:rPr>
      </w:pPr>
      <w:bookmarkStart w:id="14" w:name="_Hlk127368015"/>
      <w:r w:rsidRPr="008261B1">
        <w:rPr>
          <w:rFonts w:asciiTheme="majorHAnsi" w:hAnsiTheme="majorHAnsi" w:cstheme="majorHAnsi"/>
          <w:b/>
          <w:lang w:bidi="it-IT"/>
        </w:rPr>
        <w:t>Approccio che coinvolge tutti i soggetti del processo educativo:</w:t>
      </w:r>
      <w:r w:rsidRPr="008261B1">
        <w:rPr>
          <w:rFonts w:asciiTheme="majorHAnsi" w:hAnsiTheme="majorHAnsi" w:cstheme="majorHAnsi"/>
          <w:lang w:bidi="it-IT"/>
        </w:rPr>
        <w:t xml:space="preserve"> coinvolge tutti i membri della comunità scolastica (studenti, personale, famiglie e assistenti, membri della comunità) e si propone di includere tutte le aree della vita scolastica. Riconosce che l’apprendimento reale avviene sia attraverso il curriculum “formale” che attraverso il curriculum “nascosto” e l’esperienza di vita che gli studenti fanno a scuola e nella comunità.</w:t>
      </w:r>
    </w:p>
    <w:p w14:paraId="3C9BC74E" w14:textId="20E84C4A" w:rsidR="008261B1" w:rsidRPr="008261B1" w:rsidRDefault="008261B1" w:rsidP="008261B1">
      <w:pPr>
        <w:pStyle w:val="Agency-body-text"/>
        <w:rPr>
          <w:rFonts w:asciiTheme="majorHAnsi" w:hAnsiTheme="majorHAnsi" w:cstheme="majorHAnsi"/>
        </w:rPr>
      </w:pPr>
      <w:r w:rsidRPr="008261B1">
        <w:rPr>
          <w:rFonts w:asciiTheme="majorHAnsi" w:hAnsiTheme="majorHAnsi" w:cstheme="majorHAnsi"/>
          <w:b/>
          <w:lang w:bidi="it-IT"/>
        </w:rPr>
        <w:t>Approccio di progettazione universale:</w:t>
      </w:r>
      <w:r w:rsidRPr="008261B1">
        <w:rPr>
          <w:rFonts w:asciiTheme="majorHAnsi" w:hAnsiTheme="majorHAnsi" w:cstheme="majorHAnsi"/>
          <w:lang w:bidi="it-IT"/>
        </w:rPr>
        <w:t xml:space="preserve"> La Progettazione Universale per l'Apprendimento (PUA) è un approccio che affronta la diversità dei bisogni degli studenti proponendo obiettivi, metodi, materiali e processi di valutazione flessibili che aiutano gli educatori a rispondere a esigenze diverse. I curriculum creati con l’UDL sono progettati fin dall’inizio per soddisfare le esigenze di tutti gli studenti. Un quadro UDL integra una progettazione flessibile delle situazioni di apprendimento con opzioni personalizzabili, che consentono a tutti gli studenti di fare progressi a partire dal proprio punto di partenza individuale (cfr</w:t>
      </w:r>
      <w:r w:rsidR="000438BA" w:rsidRPr="008261B1">
        <w:rPr>
          <w:rFonts w:asciiTheme="majorHAnsi" w:hAnsiTheme="majorHAnsi" w:cstheme="majorHAnsi"/>
          <w:lang w:bidi="it-IT"/>
        </w:rPr>
        <w:t>.</w:t>
      </w:r>
      <w:r w:rsidR="000438BA">
        <w:rPr>
          <w:rFonts w:asciiTheme="majorHAnsi" w:hAnsiTheme="majorHAnsi" w:cstheme="majorHAnsi"/>
          <w:lang w:bidi="it-IT"/>
        </w:rPr>
        <w:t> </w:t>
      </w:r>
      <w:hyperlink r:id="rId30" w:history="1">
        <w:r w:rsidRPr="008261B1">
          <w:rPr>
            <w:rStyle w:val="Hyperlink"/>
            <w:rFonts w:asciiTheme="majorHAnsi" w:hAnsiTheme="majorHAnsi" w:cstheme="majorHAnsi"/>
            <w:lang w:bidi="it-IT"/>
          </w:rPr>
          <w:t>Centre for Applied Special Technology, nessuna data</w:t>
        </w:r>
      </w:hyperlink>
      <w:r w:rsidRPr="008261B1">
        <w:rPr>
          <w:rFonts w:asciiTheme="majorHAnsi" w:hAnsiTheme="majorHAnsi" w:cstheme="majorHAnsi"/>
          <w:lang w:bidi="it-IT"/>
        </w:rPr>
        <w:t>).</w:t>
      </w:r>
    </w:p>
    <w:p w14:paraId="0E3D0A45" w14:textId="0AC387EE" w:rsidR="0085303A" w:rsidRPr="008261B1" w:rsidRDefault="00776FBF" w:rsidP="00591FE3">
      <w:pPr>
        <w:pStyle w:val="Agency-body-text"/>
        <w:rPr>
          <w:rFonts w:asciiTheme="majorHAnsi" w:hAnsiTheme="majorHAnsi" w:cstheme="majorHAnsi"/>
        </w:rPr>
      </w:pPr>
      <w:r w:rsidRPr="008261B1">
        <w:rPr>
          <w:rFonts w:asciiTheme="majorHAnsi" w:hAnsiTheme="majorHAnsi" w:cstheme="majorHAnsi"/>
          <w:b/>
          <w:lang w:bidi="it-IT"/>
        </w:rPr>
        <w:t>Barriere</w:t>
      </w:r>
      <w:r w:rsidRPr="008261B1">
        <w:rPr>
          <w:rFonts w:asciiTheme="majorHAnsi" w:hAnsiTheme="majorHAnsi" w:cstheme="majorHAnsi"/>
          <w:lang w:bidi="it-IT"/>
        </w:rPr>
        <w:t xml:space="preserve"> (all’apprendimento): una barriera è “un problema, una norma o una situazione che impedisce a qualcuno di fare qualcosa o che rende impossibile qualcosa” (</w:t>
      </w:r>
      <w:hyperlink r:id="rId31" w:history="1">
        <w:r w:rsidR="000438BA" w:rsidRPr="008261B1">
          <w:rPr>
            <w:rStyle w:val="Hyperlink"/>
            <w:rFonts w:asciiTheme="majorHAnsi" w:hAnsiTheme="majorHAnsi" w:cstheme="majorHAnsi"/>
            <w:lang w:bidi="it-IT"/>
          </w:rPr>
          <w:t>Oxford</w:t>
        </w:r>
        <w:r w:rsidR="000438BA">
          <w:rPr>
            <w:rStyle w:val="Hyperlink"/>
            <w:rFonts w:asciiTheme="majorHAnsi" w:hAnsiTheme="majorHAnsi" w:cstheme="majorHAnsi"/>
            <w:lang w:bidi="it-IT"/>
          </w:rPr>
          <w:t> </w:t>
        </w:r>
        <w:proofErr w:type="spellStart"/>
        <w:r w:rsidR="000438BA" w:rsidRPr="008261B1">
          <w:rPr>
            <w:rStyle w:val="Hyperlink"/>
            <w:rFonts w:asciiTheme="majorHAnsi" w:hAnsiTheme="majorHAnsi" w:cstheme="majorHAnsi"/>
            <w:lang w:bidi="it-IT"/>
          </w:rPr>
          <w:t>Learner’s</w:t>
        </w:r>
        <w:proofErr w:type="spellEnd"/>
        <w:r w:rsidR="000438BA" w:rsidRPr="008261B1">
          <w:rPr>
            <w:rStyle w:val="Hyperlink"/>
            <w:rFonts w:asciiTheme="majorHAnsi" w:hAnsiTheme="majorHAnsi" w:cstheme="majorHAnsi"/>
            <w:lang w:bidi="it-IT"/>
          </w:rPr>
          <w:t xml:space="preserve"> </w:t>
        </w:r>
        <w:proofErr w:type="spellStart"/>
        <w:r w:rsidR="000438BA" w:rsidRPr="008261B1">
          <w:rPr>
            <w:rStyle w:val="Hyperlink"/>
            <w:rFonts w:asciiTheme="majorHAnsi" w:hAnsiTheme="majorHAnsi" w:cstheme="majorHAnsi"/>
            <w:lang w:bidi="it-IT"/>
          </w:rPr>
          <w:t>Dictionaries</w:t>
        </w:r>
        <w:proofErr w:type="spellEnd"/>
      </w:hyperlink>
      <w:r w:rsidRPr="008261B1">
        <w:rPr>
          <w:rFonts w:asciiTheme="majorHAnsi" w:hAnsiTheme="majorHAnsi" w:cstheme="majorHAnsi"/>
          <w:lang w:bidi="it-IT"/>
        </w:rPr>
        <w:t>).</w:t>
      </w:r>
    </w:p>
    <w:p w14:paraId="56BFAD4A" w14:textId="77777777" w:rsidR="0085303A" w:rsidRPr="008261B1" w:rsidRDefault="0085303A" w:rsidP="00591FE3">
      <w:pPr>
        <w:pStyle w:val="Agency-body-text"/>
        <w:rPr>
          <w:rFonts w:asciiTheme="majorHAnsi" w:hAnsiTheme="majorHAnsi" w:cstheme="majorHAnsi"/>
        </w:rPr>
      </w:pPr>
      <w:r w:rsidRPr="008261B1">
        <w:rPr>
          <w:rFonts w:asciiTheme="majorHAnsi" w:hAnsiTheme="majorHAnsi" w:cstheme="majorHAnsi"/>
          <w:lang w:bidi="it-IT"/>
        </w:rPr>
        <w:t>Spesso si ritiene che la disabilità sia causata da “barriere invalidanti”. In tal caso il problema si può affrontare progettando ambienti accessibili e favorevoli.</w:t>
      </w:r>
    </w:p>
    <w:p w14:paraId="1267E0E1" w14:textId="77777777" w:rsidR="0085303A" w:rsidRPr="008261B1" w:rsidRDefault="0085303A" w:rsidP="00591FE3">
      <w:pPr>
        <w:pStyle w:val="Agency-quotation"/>
        <w:rPr>
          <w:rFonts w:asciiTheme="majorHAnsi" w:hAnsiTheme="majorHAnsi" w:cstheme="majorHAnsi"/>
        </w:rPr>
      </w:pPr>
      <w:r w:rsidRPr="008261B1">
        <w:rPr>
          <w:rFonts w:asciiTheme="majorHAnsi" w:hAnsiTheme="majorHAnsi" w:cstheme="majorHAnsi"/>
          <w:lang w:bidi="it-IT"/>
        </w:rPr>
        <w:t>Nell’istruzione - e durante il processo di apprendimento - ci possono essere molte barriere o circostanze che limitano la piena partecipazione degli studenti. Molti studenti avranno esigenze diverse (a breve e a lungo termine) su cui può essere necessario concentrarsi, per consentire loro di partecipare a tutte le attività e trarre pieno beneficio dalle opportunità offerte.</w:t>
      </w:r>
    </w:p>
    <w:p w14:paraId="21AB8733" w14:textId="1931B49A" w:rsidR="00776FBF" w:rsidRPr="008261B1" w:rsidRDefault="0085303A" w:rsidP="00591FE3">
      <w:pPr>
        <w:pStyle w:val="Agency-quotation"/>
        <w:rPr>
          <w:rFonts w:asciiTheme="majorHAnsi" w:hAnsiTheme="majorHAnsi" w:cstheme="majorHAnsi"/>
        </w:rPr>
      </w:pPr>
      <w:r w:rsidRPr="008261B1">
        <w:rPr>
          <w:rFonts w:asciiTheme="majorHAnsi" w:hAnsiTheme="majorHAnsi" w:cstheme="majorHAnsi"/>
          <w:lang w:bidi="it-IT"/>
        </w:rPr>
        <w:t>La partecipazione piena e attiva può essere influenzata da atteggiamenti negativi e da un deficit di pensiero, da barriere fisiche, da uno scarso accesso agli ausili per la comunicazione e a informazioni adeguate in formati accessibili o da una mancanza di fiducia e/o di formazione sulle abilità necessarie per la partecipazione (</w:t>
      </w:r>
      <w:hyperlink r:id="rId32" w:history="1">
        <w:r w:rsidRPr="008261B1">
          <w:rPr>
            <w:rStyle w:val="Hyperlink"/>
            <w:rFonts w:asciiTheme="majorHAnsi" w:hAnsiTheme="majorHAnsi" w:cstheme="majorHAnsi"/>
            <w:lang w:bidi="it-IT"/>
          </w:rPr>
          <w:t>Agenzia Europea, nessuna data</w:t>
        </w:r>
      </w:hyperlink>
      <w:r w:rsidRPr="008261B1">
        <w:rPr>
          <w:rFonts w:asciiTheme="majorHAnsi" w:hAnsiTheme="majorHAnsi" w:cstheme="majorHAnsi"/>
          <w:lang w:bidi="it-IT"/>
        </w:rPr>
        <w:t>).</w:t>
      </w:r>
    </w:p>
    <w:p w14:paraId="2A6BBD3C" w14:textId="77777777" w:rsidR="008261B1" w:rsidRPr="008261B1" w:rsidRDefault="008261B1" w:rsidP="008261B1">
      <w:pPr>
        <w:pStyle w:val="Agency-body-text"/>
        <w:rPr>
          <w:rFonts w:asciiTheme="majorHAnsi" w:hAnsiTheme="majorHAnsi" w:cstheme="majorHAnsi"/>
        </w:rPr>
      </w:pPr>
      <w:r w:rsidRPr="008261B1">
        <w:rPr>
          <w:rFonts w:asciiTheme="majorHAnsi" w:hAnsiTheme="majorHAnsi" w:cstheme="majorHAnsi"/>
          <w:b/>
          <w:lang w:bidi="it-IT"/>
        </w:rPr>
        <w:t>Centro risorsa:</w:t>
      </w:r>
      <w:r w:rsidRPr="008261B1">
        <w:rPr>
          <w:rFonts w:asciiTheme="majorHAnsi" w:hAnsiTheme="majorHAnsi" w:cstheme="majorHAnsi"/>
          <w:lang w:bidi="it-IT"/>
        </w:rPr>
        <w:t xml:space="preserve"> i centri risorsa sono centri e/o istituzioni educative fondamentali dedicati a fornire sostegno e consulenza per promuovere l’inclusione. Un centro risorsa è una scuola speciale trasformata, che si ridefinisce come uno spazio dinamico e multifunzionale che riunisce risorse umane e materiali. La trasformazione prevede che gli stakeholder provenienti da contesti speciali agiscano come consulenti per i contesti ordinari, mettendo a disposizione delle scuole le conoscenze e l’esperienza che hanno accumulato. Mobilita le </w:t>
      </w:r>
      <w:r w:rsidRPr="008261B1">
        <w:rPr>
          <w:rFonts w:asciiTheme="majorHAnsi" w:hAnsiTheme="majorHAnsi" w:cstheme="majorHAnsi"/>
          <w:lang w:bidi="it-IT"/>
        </w:rPr>
        <w:lastRenderedPageBreak/>
        <w:t>conoscenze e le abilità della scuola per l’inclusione, valorizzando le conoscenze e le esperienze di tutti.</w:t>
      </w:r>
    </w:p>
    <w:p w14:paraId="7D1642CE" w14:textId="0A426F29" w:rsidR="008261B1" w:rsidRPr="008261B1" w:rsidRDefault="008261B1" w:rsidP="008261B1">
      <w:pPr>
        <w:pStyle w:val="Agency-body-text"/>
        <w:rPr>
          <w:rFonts w:asciiTheme="majorHAnsi" w:hAnsiTheme="majorHAnsi" w:cstheme="majorHAnsi"/>
        </w:rPr>
      </w:pPr>
      <w:r w:rsidRPr="008261B1">
        <w:rPr>
          <w:rFonts w:asciiTheme="majorHAnsi" w:hAnsiTheme="majorHAnsi" w:cstheme="majorHAnsi"/>
          <w:b/>
          <w:lang w:bidi="it-IT"/>
        </w:rPr>
        <w:t>Comunità di apprendimento professionale:</w:t>
      </w:r>
      <w:r w:rsidRPr="008261B1">
        <w:rPr>
          <w:rFonts w:asciiTheme="majorHAnsi" w:hAnsiTheme="majorHAnsi" w:cstheme="majorHAnsi"/>
          <w:lang w:bidi="it-IT"/>
        </w:rPr>
        <w:t xml:space="preserve"> una comunità di apprendimento professionale si riferisce a collaborazioni di stakeholder del settore dell’istruzione “intorno a gruppi di scuole che coinvolgono ... personale scolastico e della comunità, insieme a ricercatori, leader locali e decisori” (</w:t>
      </w:r>
      <w:hyperlink r:id="rId33" w:history="1">
        <w:r w:rsidRPr="008261B1">
          <w:rPr>
            <w:rStyle w:val="Hyperlink"/>
            <w:rFonts w:asciiTheme="majorHAnsi" w:hAnsiTheme="majorHAnsi" w:cstheme="majorHAnsi"/>
            <w:lang w:bidi="it-IT"/>
          </w:rPr>
          <w:t>Agenzia Europea, 2015</w:t>
        </w:r>
      </w:hyperlink>
      <w:r w:rsidRPr="008261B1">
        <w:rPr>
          <w:rFonts w:asciiTheme="majorHAnsi" w:hAnsiTheme="majorHAnsi" w:cstheme="majorHAnsi"/>
          <w:lang w:bidi="it-IT"/>
        </w:rPr>
        <w:t>, pag. 7).</w:t>
      </w:r>
    </w:p>
    <w:p w14:paraId="5A0DCCE6" w14:textId="77777777" w:rsidR="008261B1" w:rsidRPr="008261B1" w:rsidRDefault="008261B1" w:rsidP="008261B1">
      <w:pPr>
        <w:pStyle w:val="Agency-body-text"/>
        <w:keepNext/>
        <w:rPr>
          <w:rFonts w:asciiTheme="majorHAnsi" w:hAnsiTheme="majorHAnsi" w:cstheme="majorHAnsi"/>
        </w:rPr>
      </w:pPr>
      <w:r w:rsidRPr="008261B1">
        <w:rPr>
          <w:rFonts w:asciiTheme="majorHAnsi" w:hAnsiTheme="majorHAnsi" w:cstheme="majorHAnsi"/>
          <w:lang w:bidi="it-IT"/>
        </w:rPr>
        <w:t>Le comunità di apprendimento professionale possono avere due scopi generali:</w:t>
      </w:r>
    </w:p>
    <w:p w14:paraId="5E7A7B54" w14:textId="74EA5E42" w:rsidR="008261B1" w:rsidRPr="008261B1" w:rsidRDefault="008261B1" w:rsidP="008261B1">
      <w:pPr>
        <w:pStyle w:val="Agency-quotation"/>
        <w:rPr>
          <w:rFonts w:asciiTheme="majorHAnsi" w:hAnsiTheme="majorHAnsi" w:cstheme="majorHAnsi"/>
        </w:rPr>
      </w:pPr>
      <w:r w:rsidRPr="008261B1">
        <w:rPr>
          <w:rFonts w:asciiTheme="majorHAnsi" w:hAnsiTheme="majorHAnsi" w:cstheme="majorHAnsi"/>
          <w:lang w:bidi="it-IT"/>
        </w:rPr>
        <w:t xml:space="preserve">1) migliorare le abilità e le conoscenze degli educatori attraverso lo studio collaborativo, lo scambio di competenze e il dialogo professionale e 2) migliorare le aspirazioni, il successo e i risultati educativi degli studenti attraverso una leadership e un insegnamento più forti. Le comunità di apprendimento professionale spesso funzionano come una forma di </w:t>
      </w:r>
      <w:hyperlink r:id="rId34" w:tooltip="Ricerca azione" w:history="1">
        <w:r w:rsidR="005B2829">
          <w:rPr>
            <w:rStyle w:val="Hyperlink"/>
            <w:rFonts w:asciiTheme="majorHAnsi" w:hAnsiTheme="majorHAnsi" w:cstheme="majorHAnsi"/>
            <w:i/>
            <w:lang w:bidi="it-IT"/>
          </w:rPr>
          <w:t>ricerca</w:t>
        </w:r>
        <w:r w:rsidR="005B2829">
          <w:rPr>
            <w:rStyle w:val="Hyperlink"/>
            <w:rFonts w:asciiTheme="majorHAnsi" w:hAnsiTheme="majorHAnsi" w:cstheme="majorHAnsi"/>
            <w:i/>
            <w:lang w:bidi="it-IT"/>
          </w:rPr>
          <w:noBreakHyphen/>
          <w:t>azione</w:t>
        </w:r>
      </w:hyperlink>
      <w:r w:rsidRPr="008261B1">
        <w:rPr>
          <w:rFonts w:asciiTheme="majorHAnsi" w:hAnsiTheme="majorHAnsi" w:cstheme="majorHAnsi"/>
          <w:lang w:bidi="it-IT"/>
        </w:rPr>
        <w:t>, ossia come un modo per mettere continuamente in discussione, rivalutare, perfezionare e migliorare le strategie e le conoscenze didattiche (</w:t>
      </w:r>
      <w:hyperlink r:id="rId35" w:history="1">
        <w:r w:rsidRPr="008261B1">
          <w:rPr>
            <w:rStyle w:val="Hyperlink"/>
            <w:rFonts w:asciiTheme="majorHAnsi" w:hAnsiTheme="majorHAnsi" w:cstheme="majorHAnsi"/>
            <w:lang w:bidi="it-IT"/>
          </w:rPr>
          <w:t>Great Schools Partnership</w:t>
        </w:r>
      </w:hyperlink>
      <w:r w:rsidRPr="008261B1">
        <w:rPr>
          <w:rFonts w:asciiTheme="majorHAnsi" w:hAnsiTheme="majorHAnsi" w:cstheme="majorHAnsi"/>
          <w:lang w:bidi="it-IT"/>
        </w:rPr>
        <w:t>, 2014).</w:t>
      </w:r>
    </w:p>
    <w:p w14:paraId="0546779B" w14:textId="0DDC7167"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b/>
          <w:lang w:bidi="it-IT"/>
        </w:rPr>
        <w:t>Continuità flessibile del sostegno:</w:t>
      </w:r>
      <w:r w:rsidRPr="008261B1">
        <w:rPr>
          <w:rFonts w:asciiTheme="majorHAnsi" w:hAnsiTheme="majorHAnsi" w:cstheme="majorHAnsi"/>
          <w:lang w:bidi="it-IT"/>
        </w:rPr>
        <w:t xml:space="preserve"> una continuità flessibile del sostegno e dei servizi risponde all’intera gamma di esigenze aggiuntive riscontrate in ogni scuola. Ciò va dall’aiuto minimo nelle classi ordinarie ai programmi di supporto aggiuntivo all’apprendimento all’interno della scuola. Se necessario, si estende anche all’assistenza di insegnanti specializzati in didattica speciale e di personale di sostegno esterno. Una continuità flessibile del sostegno garantisce una transizione coerente all’interno dei sistemi educativi e da questi ultimi al mondo del lavoro. Inoltre, garantisce la cooperazione tra i diversi stakeholder.</w:t>
      </w:r>
    </w:p>
    <w:p w14:paraId="498E8A49" w14:textId="3F7EDF6C"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b/>
          <w:lang w:bidi="it-IT"/>
        </w:rPr>
        <w:t>Diversità:</w:t>
      </w:r>
      <w:r w:rsidRPr="008261B1">
        <w:rPr>
          <w:rFonts w:asciiTheme="majorHAnsi" w:hAnsiTheme="majorHAnsi" w:cstheme="majorHAnsi"/>
          <w:lang w:bidi="it-IT"/>
        </w:rPr>
        <w:t xml:space="preserve"> un concetto sfaccettato che può contenere molti elementi e livelli di distinzione, ad es. età, etnicità, classe, genere, abilità fisiche, razza, orientamento sessuale, stato religioso, background educativo, posizione geografica, reddito, stato civile, condizione familiare ed esperienze lavorative.</w:t>
      </w:r>
    </w:p>
    <w:p w14:paraId="3F71C11B" w14:textId="55F80FDA"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b/>
          <w:lang w:bidi="it-IT"/>
        </w:rPr>
        <w:t>Finanziamento:</w:t>
      </w:r>
      <w:r w:rsidRPr="008261B1">
        <w:rPr>
          <w:rFonts w:asciiTheme="majorHAnsi" w:hAnsiTheme="majorHAnsi" w:cstheme="majorHAnsi"/>
          <w:lang w:bidi="it-IT"/>
        </w:rPr>
        <w:t xml:space="preserve"> Il meccanismo di assegnazione delle risorse (finanziario, umano, tecnico ecc.) che promuove l’inclusione.</w:t>
      </w:r>
    </w:p>
    <w:p w14:paraId="04E75DB6" w14:textId="77777777" w:rsidR="008261B1" w:rsidRPr="008261B1" w:rsidRDefault="008261B1" w:rsidP="008261B1">
      <w:pPr>
        <w:pStyle w:val="Agency-body-text"/>
        <w:rPr>
          <w:rFonts w:asciiTheme="majorHAnsi" w:hAnsiTheme="majorHAnsi" w:cstheme="majorHAnsi"/>
        </w:rPr>
      </w:pPr>
      <w:r w:rsidRPr="008261B1">
        <w:rPr>
          <w:rFonts w:asciiTheme="majorHAnsi" w:hAnsiTheme="majorHAnsi" w:cstheme="majorHAnsi"/>
          <w:b/>
          <w:lang w:bidi="it-IT"/>
        </w:rPr>
        <w:t>Garanzia della qualità:</w:t>
      </w:r>
      <w:r w:rsidRPr="008261B1">
        <w:rPr>
          <w:rFonts w:asciiTheme="majorHAnsi" w:hAnsiTheme="majorHAnsi" w:cstheme="majorHAnsi"/>
          <w:lang w:bidi="it-IT"/>
        </w:rPr>
        <w:t xml:space="preserve"> “La pratica di gestire il modo in cui i beni sono prodotti o i servizi sono forniti per assicurarsi che siano mantenuti a uno standard elevato” (</w:t>
      </w:r>
      <w:hyperlink r:id="rId36" w:history="1">
        <w:r w:rsidRPr="008261B1">
          <w:rPr>
            <w:rStyle w:val="Hyperlink"/>
            <w:rFonts w:asciiTheme="majorHAnsi" w:hAnsiTheme="majorHAnsi" w:cstheme="majorHAnsi"/>
            <w:lang w:bidi="it-IT"/>
          </w:rPr>
          <w:t xml:space="preserve">Oxford </w:t>
        </w:r>
        <w:proofErr w:type="spellStart"/>
        <w:r w:rsidRPr="008261B1">
          <w:rPr>
            <w:rStyle w:val="Hyperlink"/>
            <w:rFonts w:asciiTheme="majorHAnsi" w:hAnsiTheme="majorHAnsi" w:cstheme="majorHAnsi"/>
            <w:lang w:bidi="it-IT"/>
          </w:rPr>
          <w:t>Learner’s</w:t>
        </w:r>
        <w:proofErr w:type="spellEnd"/>
        <w:r w:rsidRPr="008261B1">
          <w:rPr>
            <w:rStyle w:val="Hyperlink"/>
            <w:rFonts w:asciiTheme="majorHAnsi" w:hAnsiTheme="majorHAnsi" w:cstheme="majorHAnsi"/>
            <w:lang w:bidi="it-IT"/>
          </w:rPr>
          <w:t xml:space="preserve"> </w:t>
        </w:r>
        <w:proofErr w:type="spellStart"/>
        <w:r w:rsidRPr="008261B1">
          <w:rPr>
            <w:rStyle w:val="Hyperlink"/>
            <w:rFonts w:asciiTheme="majorHAnsi" w:hAnsiTheme="majorHAnsi" w:cstheme="majorHAnsi"/>
            <w:lang w:bidi="it-IT"/>
          </w:rPr>
          <w:t>Dictionaries</w:t>
        </w:r>
        <w:proofErr w:type="spellEnd"/>
      </w:hyperlink>
      <w:r w:rsidRPr="008261B1">
        <w:rPr>
          <w:rFonts w:asciiTheme="majorHAnsi" w:hAnsiTheme="majorHAnsi" w:cstheme="majorHAnsi"/>
          <w:lang w:bidi="it-IT"/>
        </w:rPr>
        <w:t>).</w:t>
      </w:r>
    </w:p>
    <w:p w14:paraId="3B02C165" w14:textId="77777777" w:rsidR="008261B1" w:rsidRPr="008261B1" w:rsidRDefault="008261B1" w:rsidP="008261B1">
      <w:pPr>
        <w:pStyle w:val="Agency-body-text"/>
        <w:rPr>
          <w:rFonts w:asciiTheme="majorHAnsi" w:hAnsiTheme="majorHAnsi" w:cstheme="majorHAnsi"/>
        </w:rPr>
      </w:pPr>
      <w:r w:rsidRPr="008261B1">
        <w:rPr>
          <w:rFonts w:asciiTheme="majorHAnsi" w:hAnsiTheme="majorHAnsi" w:cstheme="majorHAnsi"/>
          <w:lang w:bidi="it-IT"/>
        </w:rPr>
        <w:t>La garanzia della qualità si riferisce alle “politiche, procedure e prassi progettate per ottenere, mantenere e migliorare la qualità nell’educazione inclusiva”. Comprende anche “il modo in cui le organizzazioni educative rendono conto delle loro attività, se ne assumono la responsabilità e condividono le informazioni sui loro risultati in modo aperto e trasparente” (</w:t>
      </w:r>
      <w:hyperlink r:id="rId37" w:history="1">
        <w:r w:rsidRPr="008261B1">
          <w:rPr>
            <w:rStyle w:val="Hyperlink"/>
            <w:rFonts w:asciiTheme="majorHAnsi" w:hAnsiTheme="majorHAnsi" w:cstheme="majorHAnsi"/>
            <w:lang w:bidi="it-IT"/>
          </w:rPr>
          <w:t>Agenzia europea, 2018</w:t>
        </w:r>
      </w:hyperlink>
      <w:r w:rsidRPr="008261B1">
        <w:rPr>
          <w:rFonts w:asciiTheme="majorHAnsi" w:hAnsiTheme="majorHAnsi" w:cstheme="majorHAnsi"/>
          <w:lang w:bidi="it-IT"/>
        </w:rPr>
        <w:t>, pag. 17).</w:t>
      </w:r>
    </w:p>
    <w:p w14:paraId="4C21D92B" w14:textId="42BCF4CE"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b/>
          <w:lang w:bidi="it-IT"/>
        </w:rPr>
        <w:t>Governance</w:t>
      </w:r>
      <w:r w:rsidRPr="008261B1">
        <w:rPr>
          <w:rFonts w:asciiTheme="majorHAnsi" w:hAnsiTheme="majorHAnsi" w:cstheme="majorHAnsi"/>
          <w:lang w:bidi="it-IT"/>
        </w:rPr>
        <w:t>: le strutture e i processi progettati per garantire la responsabilità, la trasparenza e la responsività del sistema educativo. Possono includere, ad esempio, la creazione di reti all’interno e all’esterno delle scuole, meccanismi di monitoraggio e responsabilità, approcci di valutazione (modello di valutazione pedagogico o diagnostico) ecc.</w:t>
      </w:r>
    </w:p>
    <w:p w14:paraId="77AAEFF7" w14:textId="77777777" w:rsidR="008261B1" w:rsidRPr="008261B1" w:rsidRDefault="008261B1" w:rsidP="008261B1">
      <w:pPr>
        <w:pStyle w:val="Agency-body-text"/>
        <w:rPr>
          <w:rFonts w:asciiTheme="majorHAnsi" w:hAnsiTheme="majorHAnsi" w:cstheme="majorHAnsi"/>
        </w:rPr>
      </w:pPr>
      <w:r w:rsidRPr="008261B1">
        <w:rPr>
          <w:rFonts w:asciiTheme="majorHAnsi" w:hAnsiTheme="majorHAnsi" w:cstheme="majorHAnsi"/>
          <w:b/>
          <w:lang w:bidi="it-IT"/>
        </w:rPr>
        <w:lastRenderedPageBreak/>
        <w:t>Indicatori:</w:t>
      </w:r>
      <w:r w:rsidRPr="008261B1">
        <w:rPr>
          <w:rFonts w:asciiTheme="majorHAnsi" w:hAnsiTheme="majorHAnsi" w:cstheme="majorHAnsi"/>
          <w:lang w:bidi="it-IT"/>
        </w:rPr>
        <w:t xml:space="preserve"> misure (qualitative e quantitative) basate su un approccio scientifico che consentono di monitorare la qualità e lo stato di attuazione dell’educazione inclusiva.</w:t>
      </w:r>
    </w:p>
    <w:p w14:paraId="5ED5BED5" w14:textId="77777777" w:rsidR="008261B1" w:rsidRPr="008261B1" w:rsidRDefault="008261B1" w:rsidP="008261B1">
      <w:pPr>
        <w:pStyle w:val="Agency-body-text"/>
        <w:rPr>
          <w:rFonts w:asciiTheme="majorHAnsi" w:hAnsiTheme="majorHAnsi" w:cstheme="majorHAnsi"/>
        </w:rPr>
      </w:pPr>
      <w:r w:rsidRPr="008261B1">
        <w:rPr>
          <w:rFonts w:asciiTheme="majorHAnsi" w:hAnsiTheme="majorHAnsi" w:cstheme="majorHAnsi"/>
          <w:b/>
          <w:lang w:bidi="it-IT"/>
        </w:rPr>
        <w:t>L’aggiornamento professionale</w:t>
      </w:r>
      <w:r w:rsidRPr="008261B1">
        <w:rPr>
          <w:rFonts w:asciiTheme="majorHAnsi" w:hAnsiTheme="majorHAnsi" w:cstheme="majorHAnsi"/>
          <w:lang w:bidi="it-IT"/>
        </w:rPr>
        <w:t xml:space="preserve"> si riferisce a qualsiasi attività intrapresa da coloro che lavorano nel settore dell’istruzione per stimolare il proprio pensiero e la conoscenza professionale, nonché per migliorare la propria prassi e garantire che sia aggiornata e basata su dati concreti. L’aggiornamento professionale comprende attività che si svolgono durante la carriera professionale di un individuo.</w:t>
      </w:r>
    </w:p>
    <w:p w14:paraId="77F2B451" w14:textId="54289E35"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b/>
          <w:lang w:bidi="it-IT"/>
        </w:rPr>
        <w:t>L’educazione inclusiva</w:t>
      </w:r>
      <w:r w:rsidRPr="008261B1">
        <w:rPr>
          <w:rFonts w:asciiTheme="majorHAnsi" w:hAnsiTheme="majorHAnsi" w:cstheme="majorHAnsi"/>
          <w:lang w:bidi="it-IT"/>
        </w:rPr>
        <w:t xml:space="preserve"> presuppone un vero e proprio cambiamento sia a livello di politiche che di prassi educative. Gli studenti sono posti al centro di un sistema che deve essere in grado di riconoscere e accettare la loro diversità, nonché rispondere adeguatamente ad essa. L’educazione inclusiva mira a rispondere ai principi di efficienza, uguaglianza ed equità, in cui la diversità è percepita come una risorsa. Gli studenti devono anche essere preparati a partecipare nella società, ad accedere a una cittadinanza significativa e a riconoscere i valori dei diritti umani, della libertà, della tolleranza e della non discriminazione.</w:t>
      </w:r>
    </w:p>
    <w:p w14:paraId="6ACF358D" w14:textId="4797E16B" w:rsidR="00B30C09" w:rsidRPr="008261B1" w:rsidRDefault="00776FBF" w:rsidP="00591FE3">
      <w:pPr>
        <w:pStyle w:val="Agency-body-text"/>
        <w:rPr>
          <w:rFonts w:asciiTheme="majorHAnsi" w:hAnsiTheme="majorHAnsi" w:cstheme="majorHAnsi"/>
        </w:rPr>
      </w:pPr>
      <w:r w:rsidRPr="008261B1">
        <w:rPr>
          <w:rFonts w:asciiTheme="majorHAnsi" w:hAnsiTheme="majorHAnsi" w:cstheme="majorHAnsi"/>
          <w:b/>
          <w:lang w:bidi="it-IT"/>
        </w:rPr>
        <w:t>Piano/programma educativo individualizzato:</w:t>
      </w:r>
      <w:r w:rsidRPr="008261B1">
        <w:rPr>
          <w:rFonts w:asciiTheme="majorHAnsi" w:hAnsiTheme="majorHAnsi" w:cstheme="majorHAnsi"/>
          <w:lang w:bidi="it-IT"/>
        </w:rPr>
        <w:t xml:space="preserve"> “Un piano scritto che definisce l’attuale livello di rendimento di uno studente insieme a obiettivi e traguardi, nonché servizi e tempistiche per raggiungere tali obiettivi e traguardi” (</w:t>
      </w:r>
      <w:hyperlink r:id="rId38" w:history="1">
        <w:r w:rsidR="00B30C09" w:rsidRPr="008261B1">
          <w:rPr>
            <w:rStyle w:val="Hyperlink"/>
            <w:rFonts w:asciiTheme="majorHAnsi" w:hAnsiTheme="majorHAnsi" w:cstheme="majorHAnsi"/>
            <w:lang w:bidi="it-IT"/>
          </w:rPr>
          <w:t>UNESCO, 2020</w:t>
        </w:r>
      </w:hyperlink>
      <w:r w:rsidRPr="008261B1">
        <w:rPr>
          <w:rFonts w:asciiTheme="majorHAnsi" w:hAnsiTheme="majorHAnsi" w:cstheme="majorHAnsi"/>
          <w:lang w:bidi="it-IT"/>
        </w:rPr>
        <w:t>, pag. 420).</w:t>
      </w:r>
    </w:p>
    <w:p w14:paraId="2DDC75C8" w14:textId="47F8B09E" w:rsidR="00776FBF" w:rsidRPr="008261B1" w:rsidRDefault="00B30C09" w:rsidP="00591FE3">
      <w:pPr>
        <w:pStyle w:val="Agency-body-text"/>
        <w:rPr>
          <w:rFonts w:asciiTheme="majorHAnsi" w:hAnsiTheme="majorHAnsi" w:cstheme="majorHAnsi"/>
        </w:rPr>
      </w:pPr>
      <w:r w:rsidRPr="008261B1">
        <w:rPr>
          <w:rFonts w:asciiTheme="majorHAnsi" w:hAnsiTheme="majorHAnsi" w:cstheme="majorHAnsi"/>
          <w:lang w:bidi="it-IT"/>
        </w:rPr>
        <w:t>I genitori, gli studenti e altri professionisti/specialisti possono essere coinvolti nello sviluppo di piani educativi individualizzati.</w:t>
      </w:r>
    </w:p>
    <w:p w14:paraId="1D3663D7" w14:textId="77777777" w:rsidR="008261B1" w:rsidRPr="008261B1" w:rsidRDefault="008261B1" w:rsidP="008261B1">
      <w:pPr>
        <w:pStyle w:val="Agency-body-text"/>
        <w:keepNext/>
        <w:rPr>
          <w:rFonts w:asciiTheme="majorHAnsi" w:hAnsiTheme="majorHAnsi" w:cstheme="majorHAnsi"/>
        </w:rPr>
      </w:pPr>
      <w:r w:rsidRPr="008261B1">
        <w:rPr>
          <w:rFonts w:asciiTheme="majorHAnsi" w:hAnsiTheme="majorHAnsi" w:cstheme="majorHAnsi"/>
          <w:b/>
          <w:lang w:bidi="it-IT"/>
        </w:rPr>
        <w:t>Prestazioni:</w:t>
      </w:r>
      <w:r w:rsidRPr="008261B1">
        <w:rPr>
          <w:rFonts w:asciiTheme="majorHAnsi" w:hAnsiTheme="majorHAnsi" w:cstheme="majorHAnsi"/>
          <w:lang w:bidi="it-IT"/>
        </w:rPr>
        <w:t xml:space="preserve"> Il termine “offerta educativa” comprende tutte le forme di sostegno che possono aiutare il processo di partecipazione all’istruzione degli studenti con necessità di ulteriori sostegni: curriculum, procedure di valutazione, forme pedagogiche, organizzazione e gestione e risorse. Il termine “prestazioni” comprende diversi tipi di servizi specialistici, in particolare:</w:t>
      </w:r>
    </w:p>
    <w:p w14:paraId="4AA0F563" w14:textId="77777777" w:rsidR="008261B1" w:rsidRPr="008261B1" w:rsidRDefault="008261B1" w:rsidP="008261B1">
      <w:pPr>
        <w:pStyle w:val="Agency-body-text"/>
        <w:numPr>
          <w:ilvl w:val="0"/>
          <w:numId w:val="48"/>
        </w:numPr>
        <w:rPr>
          <w:rFonts w:asciiTheme="majorHAnsi" w:hAnsiTheme="majorHAnsi" w:cstheme="majorHAnsi"/>
        </w:rPr>
      </w:pPr>
      <w:r w:rsidRPr="008261B1">
        <w:rPr>
          <w:rFonts w:asciiTheme="majorHAnsi" w:hAnsiTheme="majorHAnsi" w:cstheme="majorHAnsi"/>
          <w:lang w:bidi="it-IT"/>
        </w:rPr>
        <w:t>offerta educativa interna alla scuola, che garantisce l’assistenza agli studenti che si trovano in classi ordinarie o parzialmente al di fuori di esse (classi, unità, programmi speciali, classi di inclusione e sostegno parallelo, ossia prestazioni individualizzate da parte di personale specializzato);</w:t>
      </w:r>
    </w:p>
    <w:p w14:paraId="1BF2BF58" w14:textId="77777777" w:rsidR="008261B1" w:rsidRPr="008261B1" w:rsidRDefault="008261B1" w:rsidP="008261B1">
      <w:pPr>
        <w:pStyle w:val="Agency-body-text"/>
        <w:numPr>
          <w:ilvl w:val="0"/>
          <w:numId w:val="47"/>
        </w:numPr>
        <w:rPr>
          <w:rFonts w:asciiTheme="majorHAnsi" w:hAnsiTheme="majorHAnsi" w:cstheme="majorHAnsi"/>
        </w:rPr>
      </w:pPr>
      <w:r w:rsidRPr="008261B1">
        <w:rPr>
          <w:rFonts w:asciiTheme="majorHAnsi" w:hAnsiTheme="majorHAnsi" w:cstheme="majorHAnsi"/>
          <w:lang w:bidi="it-IT"/>
        </w:rPr>
        <w:t>servizi esterni offerti alle scuole con l’obiettivo di mettere queste ultime in grado di operare in modo inclusivo (centri risorsa, reti di scuole speciali, reti di scuole ordinarie e speciali);</w:t>
      </w:r>
    </w:p>
    <w:p w14:paraId="4AA3476B" w14:textId="77777777" w:rsidR="008261B1" w:rsidRPr="008261B1" w:rsidRDefault="008261B1" w:rsidP="008261B1">
      <w:pPr>
        <w:pStyle w:val="Agency-body-text"/>
        <w:numPr>
          <w:ilvl w:val="0"/>
          <w:numId w:val="47"/>
        </w:numPr>
        <w:rPr>
          <w:rFonts w:asciiTheme="majorHAnsi" w:hAnsiTheme="majorHAnsi" w:cstheme="majorHAnsi"/>
        </w:rPr>
      </w:pPr>
      <w:r w:rsidRPr="008261B1">
        <w:rPr>
          <w:rFonts w:asciiTheme="majorHAnsi" w:hAnsiTheme="majorHAnsi" w:cstheme="majorHAnsi"/>
          <w:lang w:bidi="it-IT"/>
        </w:rPr>
        <w:t>offerta educativa esterna rivolta alle scuole attraverso un sostegno individualizzato agli studenti iscritti in contesti ordinari (fisioterapisti, logopedisti) con il supporto delle autorità scolastiche, sanitarie o del welfare;</w:t>
      </w:r>
    </w:p>
    <w:p w14:paraId="74F7B367" w14:textId="77777777" w:rsidR="008261B1" w:rsidRPr="008261B1" w:rsidRDefault="008261B1" w:rsidP="008261B1">
      <w:pPr>
        <w:pStyle w:val="Agency-body-text"/>
        <w:numPr>
          <w:ilvl w:val="0"/>
          <w:numId w:val="47"/>
        </w:numPr>
        <w:rPr>
          <w:rFonts w:asciiTheme="majorHAnsi" w:hAnsiTheme="majorHAnsi" w:cstheme="majorHAnsi"/>
        </w:rPr>
      </w:pPr>
      <w:r w:rsidRPr="008261B1">
        <w:rPr>
          <w:rFonts w:asciiTheme="majorHAnsi" w:hAnsiTheme="majorHAnsi" w:cstheme="majorHAnsi"/>
          <w:lang w:bidi="it-IT"/>
        </w:rPr>
        <w:t>offerta educativa rivolta agli studenti, tra cui le scuole speciali dedicate agli studenti che necessitano di un sostegno intensivo, sotto la responsabilità delle autorità scolastiche, sanitarie o del welfare.</w:t>
      </w:r>
    </w:p>
    <w:p w14:paraId="753F4E64" w14:textId="003BC4EA"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b/>
          <w:lang w:bidi="it-IT"/>
        </w:rPr>
        <w:t>Professionisti delle prestazioni:</w:t>
      </w:r>
      <w:r w:rsidRPr="008261B1">
        <w:rPr>
          <w:rFonts w:asciiTheme="majorHAnsi" w:hAnsiTheme="majorHAnsi" w:cstheme="majorHAnsi"/>
          <w:lang w:bidi="it-IT"/>
        </w:rPr>
        <w:t xml:space="preserve"> personale con una formazione specifica che lavora per l’individuazione/valutazione, l’educazione e l’assistenza efficace degli studenti con necessità di ulteriori sostegni. Questi possono essere: coordinatori dell’istruzione speciale, educatori speciali (insegnanti di sostegno), assistenti al sostegno (assistenti alla didattica), </w:t>
      </w:r>
      <w:r w:rsidRPr="008261B1">
        <w:rPr>
          <w:rFonts w:asciiTheme="majorHAnsi" w:hAnsiTheme="majorHAnsi" w:cstheme="majorHAnsi"/>
          <w:lang w:bidi="it-IT"/>
        </w:rPr>
        <w:lastRenderedPageBreak/>
        <w:t>psicologi educativi, terapisti occupazionali, logopedisti e terapisti del linguaggio, assistenti scolastici (assistenti/accompagnatori scolastici), assistenti sociali, ecc.</w:t>
      </w:r>
    </w:p>
    <w:p w14:paraId="6D3CBE9C" w14:textId="77777777" w:rsidR="008261B1" w:rsidRPr="008261B1" w:rsidRDefault="008261B1" w:rsidP="008261B1">
      <w:pPr>
        <w:pStyle w:val="Agency-body-text"/>
        <w:rPr>
          <w:rFonts w:asciiTheme="majorHAnsi" w:hAnsiTheme="majorHAnsi" w:cstheme="majorHAnsi"/>
        </w:rPr>
      </w:pPr>
      <w:r w:rsidRPr="008261B1">
        <w:rPr>
          <w:rFonts w:asciiTheme="majorHAnsi" w:hAnsiTheme="majorHAnsi" w:cstheme="majorHAnsi"/>
          <w:b/>
          <w:lang w:bidi="it-IT"/>
        </w:rPr>
        <w:t>Rafforzamento delle capacità:</w:t>
      </w:r>
      <w:r w:rsidRPr="008261B1">
        <w:rPr>
          <w:rFonts w:asciiTheme="majorHAnsi" w:hAnsiTheme="majorHAnsi" w:cstheme="majorHAnsi"/>
          <w:lang w:bidi="it-IT"/>
        </w:rPr>
        <w:t xml:space="preserve"> i processi per sviluppare e rafforzare le attitudini, le abilità e le capacità dei professionisti. Tiene inoltre conto del sostegno e delle risorse di cui le organizzazioni educative e le comunità hanno bisogno per sviluppare le procedure di lavoro necessarie per un’educazione inclusiva.</w:t>
      </w:r>
    </w:p>
    <w:p w14:paraId="164E846B" w14:textId="6DDCC994" w:rsidR="008261B1" w:rsidRDefault="00776FBF" w:rsidP="00591FE3">
      <w:pPr>
        <w:pStyle w:val="Agency-body-text"/>
        <w:rPr>
          <w:rFonts w:asciiTheme="majorHAnsi" w:hAnsiTheme="majorHAnsi" w:cstheme="majorHAnsi"/>
          <w:lang w:bidi="it-IT"/>
        </w:rPr>
      </w:pPr>
      <w:r w:rsidRPr="008261B1">
        <w:rPr>
          <w:rFonts w:asciiTheme="majorHAnsi" w:hAnsiTheme="majorHAnsi" w:cstheme="majorHAnsi"/>
          <w:b/>
          <w:lang w:bidi="it-IT"/>
        </w:rPr>
        <w:t>Stakeholder</w:t>
      </w:r>
      <w:r w:rsidRPr="008261B1">
        <w:rPr>
          <w:rFonts w:asciiTheme="majorHAnsi" w:hAnsiTheme="majorHAnsi" w:cstheme="majorHAnsi"/>
          <w:lang w:bidi="it-IT"/>
        </w:rPr>
        <w:t>: decisori, professionisti dell’istruzione, dirigenti scolastici, studenti/pari, famiglie e membri della comunità.</w:t>
      </w:r>
      <w:bookmarkEnd w:id="14"/>
    </w:p>
    <w:p w14:paraId="43789397" w14:textId="0CD30409"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br w:type="page"/>
      </w:r>
    </w:p>
    <w:p w14:paraId="03C2E25F" w14:textId="321E297C" w:rsidR="00776FBF" w:rsidRPr="008261B1" w:rsidRDefault="00D34F24" w:rsidP="00907466">
      <w:pPr>
        <w:pStyle w:val="Agency-heading-1"/>
        <w:rPr>
          <w:rFonts w:asciiTheme="majorHAnsi" w:hAnsiTheme="majorHAnsi" w:cstheme="majorHAnsi"/>
        </w:rPr>
      </w:pPr>
      <w:bookmarkStart w:id="15" w:name="_Toc127367775"/>
      <w:r w:rsidRPr="008261B1">
        <w:rPr>
          <w:rFonts w:asciiTheme="majorHAnsi" w:hAnsiTheme="majorHAnsi" w:cstheme="majorHAnsi"/>
          <w:lang w:bidi="it-IT"/>
        </w:rPr>
        <w:lastRenderedPageBreak/>
        <w:t>Allegato 2: quadro dello strumento</w:t>
      </w:r>
      <w:bookmarkEnd w:id="15"/>
    </w:p>
    <w:p w14:paraId="66731A2C" w14:textId="398DFF47"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t>Sulla base delle informazioni ricavate dal lavoro del progetto CROSP, lo strumento include principi guida, priorità e strategie politiche, nonché azioni chiave a supporto del cambiamento del ruolo delle prestazioni. Lo strumento si basa su ricerche pregresse e sulle attività svolte dall’Agenzia che hanno evidenziato i fattori e i meccanismi importanti alla base della trasformazione dei sistemi educativi.</w:t>
      </w:r>
    </w:p>
    <w:p w14:paraId="68BFE4A5" w14:textId="3B7AD820" w:rsidR="00776FBF" w:rsidRPr="008261B1" w:rsidRDefault="00776FBF" w:rsidP="00907466">
      <w:pPr>
        <w:pStyle w:val="Agency-heading-2"/>
        <w:rPr>
          <w:rFonts w:asciiTheme="majorHAnsi" w:hAnsiTheme="majorHAnsi" w:cstheme="majorHAnsi"/>
        </w:rPr>
      </w:pPr>
      <w:bookmarkStart w:id="16" w:name="_Toc127367776"/>
      <w:r w:rsidRPr="008261B1">
        <w:rPr>
          <w:rFonts w:asciiTheme="majorHAnsi" w:hAnsiTheme="majorHAnsi" w:cstheme="majorHAnsi"/>
          <w:lang w:bidi="it-IT"/>
        </w:rPr>
        <w:t>Principi guida</w:t>
      </w:r>
      <w:bookmarkEnd w:id="16"/>
    </w:p>
    <w:p w14:paraId="24B385E7" w14:textId="0F2E19E1"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t>I principi guida sono principi generali alla base dell’attuazione di politiche e strategie e della capacità degli stakeholder di mettere in pratica l’educazione inclusiva quotidianamente.</w:t>
      </w:r>
    </w:p>
    <w:p w14:paraId="1B19F8F4" w14:textId="16C08C79"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t xml:space="preserve">Possono essere visti come </w:t>
      </w:r>
      <w:r w:rsidRPr="008261B1">
        <w:rPr>
          <w:rFonts w:asciiTheme="majorHAnsi" w:hAnsiTheme="majorHAnsi" w:cstheme="majorHAnsi"/>
          <w:b/>
          <w:lang w:bidi="it-IT"/>
        </w:rPr>
        <w:t>temi generali</w:t>
      </w:r>
      <w:r w:rsidRPr="008261B1">
        <w:rPr>
          <w:rFonts w:asciiTheme="majorHAnsi" w:hAnsiTheme="majorHAnsi" w:cstheme="majorHAnsi"/>
          <w:lang w:bidi="it-IT"/>
        </w:rPr>
        <w:t xml:space="preserve"> strettamente legati all’evoluzione del ruolo delle prestazioni. Forniscono agli stakeholder dell’offerta educativa ordinaria e delle prestazioni una visione condivisa del ruolo delle prestazioni, favorendo così la cooperazione. Fornendo ulteriori elementi di prova, si allineano ai recenti </w:t>
      </w:r>
      <w:hyperlink r:id="rId39" w:history="1">
        <w:r w:rsidR="00E97E0F" w:rsidRPr="008261B1">
          <w:rPr>
            <w:rStyle w:val="Hyperlink"/>
            <w:rFonts w:asciiTheme="majorHAnsi" w:hAnsiTheme="majorHAnsi" w:cstheme="majorHAnsi"/>
            <w:i/>
            <w:lang w:bidi="it-IT"/>
          </w:rPr>
          <w:t>Principi guida</w:t>
        </w:r>
      </w:hyperlink>
      <w:r w:rsidRPr="008261B1">
        <w:rPr>
          <w:rFonts w:asciiTheme="majorHAnsi" w:hAnsiTheme="majorHAnsi" w:cstheme="majorHAnsi"/>
          <w:lang w:bidi="it-IT"/>
        </w:rPr>
        <w:t xml:space="preserve"> (Agenzia europea, 2021) che sostengono lo sviluppo di politiche e prassi inclusive.</w:t>
      </w:r>
    </w:p>
    <w:p w14:paraId="4E707405" w14:textId="27B5BA3D" w:rsidR="00776FBF" w:rsidRPr="008261B1" w:rsidRDefault="00776FBF" w:rsidP="00AB47C3">
      <w:pPr>
        <w:pStyle w:val="Agency-body-text"/>
        <w:keepNext/>
        <w:rPr>
          <w:rFonts w:asciiTheme="majorHAnsi" w:hAnsiTheme="majorHAnsi" w:cstheme="majorHAnsi"/>
        </w:rPr>
      </w:pPr>
      <w:r w:rsidRPr="008261B1">
        <w:rPr>
          <w:rFonts w:asciiTheme="majorHAnsi" w:hAnsiTheme="majorHAnsi" w:cstheme="majorHAnsi"/>
          <w:lang w:bidi="it-IT"/>
        </w:rPr>
        <w:t>Nel corso dei laboratori tematici sono stati individuati sei principi guida reciprocamente complementari:</w:t>
      </w:r>
    </w:p>
    <w:p w14:paraId="4B1FB351" w14:textId="5727893A" w:rsidR="00776FBF" w:rsidRPr="008261B1" w:rsidRDefault="00776FBF" w:rsidP="00907466">
      <w:pPr>
        <w:pStyle w:val="Agency-heading-3"/>
        <w:rPr>
          <w:rFonts w:asciiTheme="majorHAnsi" w:hAnsiTheme="majorHAnsi" w:cstheme="majorHAnsi"/>
        </w:rPr>
      </w:pPr>
      <w:r w:rsidRPr="008261B1">
        <w:rPr>
          <w:rFonts w:asciiTheme="majorHAnsi" w:hAnsiTheme="majorHAnsi" w:cstheme="majorHAnsi"/>
          <w:lang w:bidi="it-IT"/>
        </w:rPr>
        <w:t xml:space="preserve">Principio guida 1: </w:t>
      </w:r>
      <w:r w:rsidR="00E91DEF">
        <w:rPr>
          <w:rFonts w:asciiTheme="majorHAnsi" w:hAnsiTheme="majorHAnsi" w:cstheme="majorHAnsi"/>
          <w:lang w:bidi="it-IT"/>
        </w:rPr>
        <w:t>S</w:t>
      </w:r>
      <w:r w:rsidR="00E91DEF" w:rsidRPr="008261B1">
        <w:rPr>
          <w:rFonts w:asciiTheme="majorHAnsi" w:hAnsiTheme="majorHAnsi" w:cstheme="majorHAnsi"/>
          <w:lang w:bidi="it-IT"/>
        </w:rPr>
        <w:t xml:space="preserve">viluppare </w:t>
      </w:r>
      <w:r w:rsidRPr="008261B1">
        <w:rPr>
          <w:rFonts w:asciiTheme="majorHAnsi" w:hAnsiTheme="majorHAnsi" w:cstheme="majorHAnsi"/>
          <w:lang w:bidi="it-IT"/>
        </w:rPr>
        <w:t>un impegno condiviso per l’educazione inclusiva</w:t>
      </w:r>
    </w:p>
    <w:p w14:paraId="1A2EF98D" w14:textId="6BB913AD" w:rsidR="00776FBF" w:rsidRPr="008261B1" w:rsidRDefault="00776FBF" w:rsidP="00591FE3">
      <w:pPr>
        <w:pStyle w:val="Agency-body-text"/>
        <w:pBdr>
          <w:top w:val="single" w:sz="4" w:space="1" w:color="auto"/>
          <w:left w:val="single" w:sz="4" w:space="1" w:color="auto"/>
          <w:bottom w:val="single" w:sz="4" w:space="1" w:color="auto"/>
          <w:right w:val="single" w:sz="4" w:space="1" w:color="auto"/>
        </w:pBdr>
        <w:rPr>
          <w:rFonts w:asciiTheme="majorHAnsi" w:hAnsiTheme="majorHAnsi" w:cstheme="majorHAnsi"/>
        </w:rPr>
      </w:pPr>
      <w:r w:rsidRPr="008261B1">
        <w:rPr>
          <w:rFonts w:asciiTheme="majorHAnsi" w:hAnsiTheme="majorHAnsi" w:cstheme="majorHAnsi"/>
          <w:lang w:bidi="it-IT"/>
        </w:rPr>
        <w:t>Tutti gli stakeholder dovrebbero sviluppare valori comuni e un impegno condiviso per offrire a tutti gli studenti opportunità di apprendimento di elevata qualità in contesti ordinari. Le prestazioni rivolte agli studenti che necessitano di sostegno dovrebbero basarsi su un approccio socio-pedagogico, non medico.</w:t>
      </w:r>
    </w:p>
    <w:p w14:paraId="172868DF" w14:textId="22C86D95" w:rsidR="00776FBF" w:rsidRPr="008261B1" w:rsidRDefault="00D567CD" w:rsidP="00907466">
      <w:pPr>
        <w:pStyle w:val="Agency-heading-3"/>
        <w:rPr>
          <w:rFonts w:asciiTheme="majorHAnsi" w:hAnsiTheme="majorHAnsi" w:cstheme="majorHAnsi"/>
        </w:rPr>
      </w:pPr>
      <w:r w:rsidRPr="008261B1">
        <w:rPr>
          <w:rFonts w:asciiTheme="majorHAnsi" w:hAnsiTheme="majorHAnsi" w:cstheme="majorHAnsi"/>
          <w:lang w:bidi="it-IT"/>
        </w:rPr>
        <w:t xml:space="preserve">Principio guida 2: </w:t>
      </w:r>
      <w:r w:rsidR="00E91DEF">
        <w:rPr>
          <w:rFonts w:asciiTheme="majorHAnsi" w:hAnsiTheme="majorHAnsi" w:cstheme="majorHAnsi"/>
          <w:lang w:bidi="it-IT"/>
        </w:rPr>
        <w:t>P</w:t>
      </w:r>
      <w:r w:rsidR="00E91DEF" w:rsidRPr="008261B1">
        <w:rPr>
          <w:rFonts w:asciiTheme="majorHAnsi" w:hAnsiTheme="majorHAnsi" w:cstheme="majorHAnsi"/>
          <w:lang w:bidi="it-IT"/>
        </w:rPr>
        <w:t xml:space="preserve">romuovere </w:t>
      </w:r>
      <w:r w:rsidRPr="008261B1">
        <w:rPr>
          <w:rFonts w:asciiTheme="majorHAnsi" w:hAnsiTheme="majorHAnsi" w:cstheme="majorHAnsi"/>
          <w:lang w:bidi="it-IT"/>
        </w:rPr>
        <w:t>lo scambio di conoscenze e l’acquisizione di competenze inclusive attraverso la cooperazione e il lavoro in rete</w:t>
      </w:r>
    </w:p>
    <w:p w14:paraId="70D8A3EE" w14:textId="6A09A24E" w:rsidR="00776FBF" w:rsidRPr="008261B1" w:rsidRDefault="00776FBF" w:rsidP="0029385A">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8261B1">
        <w:rPr>
          <w:rFonts w:asciiTheme="majorHAnsi" w:hAnsiTheme="majorHAnsi" w:cstheme="majorHAnsi"/>
          <w:lang w:bidi="it-IT"/>
        </w:rPr>
        <w:t>I decisori e i professionisti dell’istruzione, tanto del settore ordinario quanto delle prestazioni, dovrebbero scambiarsi le conoscenze attraverso la collaborazione a tutti i livelli educativi, nonché a livello locale/regionale/nazionale.</w:t>
      </w:r>
    </w:p>
    <w:p w14:paraId="0E1E883A" w14:textId="7E20BC1A" w:rsidR="00D567CD" w:rsidRPr="008261B1" w:rsidRDefault="00776FBF" w:rsidP="00907466">
      <w:pPr>
        <w:pStyle w:val="Agency-heading-3"/>
        <w:rPr>
          <w:rFonts w:asciiTheme="majorHAnsi" w:hAnsiTheme="majorHAnsi" w:cstheme="majorHAnsi"/>
        </w:rPr>
      </w:pPr>
      <w:r w:rsidRPr="008261B1">
        <w:rPr>
          <w:rFonts w:asciiTheme="majorHAnsi" w:hAnsiTheme="majorHAnsi" w:cstheme="majorHAnsi"/>
          <w:lang w:bidi="it-IT"/>
        </w:rPr>
        <w:t xml:space="preserve">Principio guida 3: </w:t>
      </w:r>
      <w:r w:rsidR="00E91DEF">
        <w:rPr>
          <w:rFonts w:asciiTheme="majorHAnsi" w:hAnsiTheme="majorHAnsi" w:cstheme="majorHAnsi"/>
          <w:lang w:bidi="it-IT"/>
        </w:rPr>
        <w:t>F</w:t>
      </w:r>
      <w:r w:rsidR="00E91DEF" w:rsidRPr="008261B1">
        <w:rPr>
          <w:rFonts w:asciiTheme="majorHAnsi" w:hAnsiTheme="majorHAnsi" w:cstheme="majorHAnsi"/>
          <w:lang w:bidi="it-IT"/>
        </w:rPr>
        <w:t xml:space="preserve">ornire </w:t>
      </w:r>
      <w:r w:rsidRPr="008261B1">
        <w:rPr>
          <w:rFonts w:asciiTheme="majorHAnsi" w:hAnsiTheme="majorHAnsi" w:cstheme="majorHAnsi"/>
          <w:lang w:bidi="it-IT"/>
        </w:rPr>
        <w:t>aggiornamento professionale continuo sull’inclusione</w:t>
      </w:r>
    </w:p>
    <w:p w14:paraId="5B1D7856" w14:textId="243B7599" w:rsidR="00776FBF" w:rsidRPr="008261B1"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8261B1">
        <w:rPr>
          <w:rFonts w:asciiTheme="majorHAnsi" w:hAnsiTheme="majorHAnsi" w:cstheme="majorHAnsi"/>
          <w:lang w:bidi="it-IT"/>
        </w:rPr>
        <w:t>Opportunità di apprendimento continuo dovrebbero essere fornite a tutto il personale dell’offerta educativa ordinaria e ai professionisti delle prestazioni, compresi coloro che ricoprono ruoli di leadership (ossia al fine di infondere abilità e competenze inclusive).</w:t>
      </w:r>
    </w:p>
    <w:p w14:paraId="112E54F2" w14:textId="48DD1C85" w:rsidR="00D567CD" w:rsidRPr="008261B1" w:rsidRDefault="00776FBF" w:rsidP="00907466">
      <w:pPr>
        <w:pStyle w:val="Agency-heading-3"/>
        <w:rPr>
          <w:rFonts w:asciiTheme="majorHAnsi" w:hAnsiTheme="majorHAnsi" w:cstheme="majorHAnsi"/>
        </w:rPr>
      </w:pPr>
      <w:r w:rsidRPr="008261B1">
        <w:rPr>
          <w:rFonts w:asciiTheme="majorHAnsi" w:hAnsiTheme="majorHAnsi" w:cstheme="majorHAnsi"/>
          <w:lang w:bidi="it-IT"/>
        </w:rPr>
        <w:t xml:space="preserve">Principio guida 4: </w:t>
      </w:r>
      <w:r w:rsidR="00E91DEF">
        <w:rPr>
          <w:rFonts w:asciiTheme="majorHAnsi" w:hAnsiTheme="majorHAnsi" w:cstheme="majorHAnsi"/>
          <w:lang w:bidi="it-IT"/>
        </w:rPr>
        <w:t>S</w:t>
      </w:r>
      <w:r w:rsidR="00E91DEF" w:rsidRPr="008261B1">
        <w:rPr>
          <w:rFonts w:asciiTheme="majorHAnsi" w:hAnsiTheme="majorHAnsi" w:cstheme="majorHAnsi"/>
          <w:lang w:bidi="it-IT"/>
        </w:rPr>
        <w:t xml:space="preserve">upportare </w:t>
      </w:r>
      <w:r w:rsidRPr="008261B1">
        <w:rPr>
          <w:rFonts w:asciiTheme="majorHAnsi" w:hAnsiTheme="majorHAnsi" w:cstheme="majorHAnsi"/>
          <w:lang w:bidi="it-IT"/>
        </w:rPr>
        <w:t>la leadership e la gestione scolastica inclusiva</w:t>
      </w:r>
    </w:p>
    <w:p w14:paraId="1A5AEAFC" w14:textId="197BC126" w:rsidR="00776FBF" w:rsidRPr="008261B1"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8261B1">
        <w:rPr>
          <w:rFonts w:asciiTheme="majorHAnsi" w:hAnsiTheme="majorHAnsi" w:cstheme="majorHAnsi"/>
          <w:lang w:bidi="it-IT"/>
        </w:rPr>
        <w:t>Un approccio di progettazione universale all’insegnamento e all’apprendimento dovrebbe fungere da risorsa ed essere alla base del lavoro dei professionisti che rivestono ruoli di leadership sia nel settore dell’offerta educativa ordinaria sia delle prestazioni.</w:t>
      </w:r>
    </w:p>
    <w:p w14:paraId="36C86112" w14:textId="659BE385" w:rsidR="00945A05" w:rsidRPr="008261B1" w:rsidRDefault="00776FBF" w:rsidP="00907466">
      <w:pPr>
        <w:pStyle w:val="Agency-heading-3"/>
        <w:rPr>
          <w:rFonts w:asciiTheme="majorHAnsi" w:hAnsiTheme="majorHAnsi" w:cstheme="majorHAnsi"/>
        </w:rPr>
      </w:pPr>
      <w:r w:rsidRPr="008261B1">
        <w:rPr>
          <w:rFonts w:asciiTheme="majorHAnsi" w:hAnsiTheme="majorHAnsi" w:cstheme="majorHAnsi"/>
          <w:lang w:bidi="it-IT"/>
        </w:rPr>
        <w:lastRenderedPageBreak/>
        <w:t xml:space="preserve">Principio guida 5: </w:t>
      </w:r>
      <w:r w:rsidR="00E91DEF">
        <w:rPr>
          <w:rFonts w:asciiTheme="majorHAnsi" w:hAnsiTheme="majorHAnsi" w:cstheme="majorHAnsi"/>
          <w:lang w:bidi="it-IT"/>
        </w:rPr>
        <w:t>I</w:t>
      </w:r>
      <w:r w:rsidR="00E91DEF" w:rsidRPr="008261B1">
        <w:rPr>
          <w:rFonts w:asciiTheme="majorHAnsi" w:hAnsiTheme="majorHAnsi" w:cstheme="majorHAnsi"/>
          <w:lang w:bidi="it-IT"/>
        </w:rPr>
        <w:t xml:space="preserve">ncoraggiare </w:t>
      </w:r>
      <w:r w:rsidRPr="008261B1">
        <w:rPr>
          <w:rFonts w:asciiTheme="majorHAnsi" w:hAnsiTheme="majorHAnsi" w:cstheme="majorHAnsi"/>
          <w:lang w:bidi="it-IT"/>
        </w:rPr>
        <w:t>il coinvolgimento attivo degli stakeholder</w:t>
      </w:r>
    </w:p>
    <w:p w14:paraId="5FC091E5" w14:textId="02514380" w:rsidR="00776FBF" w:rsidRPr="008261B1"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8261B1">
        <w:rPr>
          <w:rFonts w:asciiTheme="majorHAnsi" w:hAnsiTheme="majorHAnsi" w:cstheme="majorHAnsi"/>
          <w:lang w:bidi="it-IT"/>
        </w:rPr>
        <w:t>Le famiglie, gli studenti e altri stakeholder della comunità dovrebbero essere aiutati a partecipare attivamente al processo di apprendimento e insegnamento.</w:t>
      </w:r>
    </w:p>
    <w:p w14:paraId="54BE8D84" w14:textId="287450EA" w:rsidR="00945A05" w:rsidRPr="008261B1" w:rsidRDefault="00776FBF" w:rsidP="00907466">
      <w:pPr>
        <w:pStyle w:val="Agency-heading-3"/>
        <w:rPr>
          <w:rFonts w:asciiTheme="majorHAnsi" w:hAnsiTheme="majorHAnsi" w:cstheme="majorHAnsi"/>
        </w:rPr>
      </w:pPr>
      <w:r w:rsidRPr="008261B1">
        <w:rPr>
          <w:rFonts w:asciiTheme="majorHAnsi" w:hAnsiTheme="majorHAnsi" w:cstheme="majorHAnsi"/>
          <w:lang w:bidi="it-IT"/>
        </w:rPr>
        <w:t xml:space="preserve">Principio guida 6: </w:t>
      </w:r>
      <w:r w:rsidR="00E91DEF">
        <w:rPr>
          <w:rFonts w:asciiTheme="majorHAnsi" w:hAnsiTheme="majorHAnsi" w:cstheme="majorHAnsi"/>
          <w:lang w:bidi="it-IT"/>
        </w:rPr>
        <w:t>P</w:t>
      </w:r>
      <w:r w:rsidR="00E91DEF" w:rsidRPr="008261B1">
        <w:rPr>
          <w:rFonts w:asciiTheme="majorHAnsi" w:hAnsiTheme="majorHAnsi" w:cstheme="majorHAnsi"/>
          <w:lang w:bidi="it-IT"/>
        </w:rPr>
        <w:t xml:space="preserve">romuovere </w:t>
      </w:r>
      <w:r w:rsidRPr="008261B1">
        <w:rPr>
          <w:rFonts w:asciiTheme="majorHAnsi" w:hAnsiTheme="majorHAnsi" w:cstheme="majorHAnsi"/>
          <w:lang w:bidi="it-IT"/>
        </w:rPr>
        <w:t>il monitoraggio e la valutazione continui</w:t>
      </w:r>
    </w:p>
    <w:p w14:paraId="04D710D0" w14:textId="7248643F" w:rsidR="00776FBF" w:rsidRPr="008261B1" w:rsidRDefault="00776FBF" w:rsidP="00591FE3">
      <w:pPr>
        <w:pStyle w:val="Agency-body-text"/>
        <w:pBdr>
          <w:top w:val="single" w:sz="4" w:space="1" w:color="auto"/>
          <w:left w:val="single" w:sz="4" w:space="4" w:color="auto"/>
          <w:bottom w:val="single" w:sz="4" w:space="0" w:color="auto"/>
          <w:right w:val="single" w:sz="4" w:space="4" w:color="auto"/>
        </w:pBdr>
        <w:rPr>
          <w:rFonts w:asciiTheme="majorHAnsi" w:hAnsiTheme="majorHAnsi" w:cstheme="majorHAnsi"/>
        </w:rPr>
      </w:pPr>
      <w:r w:rsidRPr="008261B1">
        <w:rPr>
          <w:rFonts w:asciiTheme="majorHAnsi" w:hAnsiTheme="majorHAnsi" w:cstheme="majorHAnsi"/>
          <w:lang w:bidi="it-IT"/>
        </w:rPr>
        <w:t>Tutto il personale dell’offerta educativa ordinaria e del settore delle prestazioni dovrebbe adoperarsi per un approccio che coinvolge tutti i soggetti del processo educativo, concentrandosi sugli ostacoli e sui fattori che facilitano l’insegnamento e l’apprendimento.</w:t>
      </w:r>
    </w:p>
    <w:p w14:paraId="49ACB748" w14:textId="71D8359F" w:rsidR="00776FBF" w:rsidRPr="008261B1" w:rsidRDefault="00776FBF" w:rsidP="00907466">
      <w:pPr>
        <w:pStyle w:val="Agency-heading-2"/>
        <w:rPr>
          <w:rFonts w:asciiTheme="majorHAnsi" w:hAnsiTheme="majorHAnsi" w:cstheme="majorHAnsi"/>
        </w:rPr>
      </w:pPr>
      <w:bookmarkStart w:id="17" w:name="_Toc127367777"/>
      <w:r w:rsidRPr="008261B1">
        <w:rPr>
          <w:rFonts w:asciiTheme="majorHAnsi" w:hAnsiTheme="majorHAnsi" w:cstheme="majorHAnsi"/>
          <w:lang w:bidi="it-IT"/>
        </w:rPr>
        <w:t>Priorità e strategie politiche</w:t>
      </w:r>
      <w:bookmarkEnd w:id="17"/>
    </w:p>
    <w:p w14:paraId="02001615" w14:textId="28D05717"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t>Ogni principio guida è collegato a priorità e strategie politiche che i paesi hanno individuato come prassi efficaci durante i laboratori e in documenti scritti.</w:t>
      </w:r>
    </w:p>
    <w:p w14:paraId="585BDDB2" w14:textId="10DEECDA"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t>Le priorità e le strategie politiche si riferiscono agli obiettivi a lungo termine che le politiche devono perseguire per quanto riguarda l’evoluzione del ruolo delle prestazioni e il collegamento con i mezzi per raggiungere questi obiettivi.</w:t>
      </w:r>
    </w:p>
    <w:p w14:paraId="5754ED1A" w14:textId="77777777"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t>Ciascun principio guida comprende alcune priorità e strategie politiche principali che sostengono l’evoluzione del ruolo delle prestazioni e si integrano a vicenda. I paesi ritengono che tali priorità e strategie politiche siano fondamentali per conformarsi ai valori espressi nei principi guida.</w:t>
      </w:r>
    </w:p>
    <w:p w14:paraId="7018DD74" w14:textId="77777777"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t>Il quadro dello strumento comprende 17 priorità e strategie politiche.</w:t>
      </w:r>
    </w:p>
    <w:p w14:paraId="04F49146" w14:textId="5F7EC737" w:rsidR="00776FBF" w:rsidRPr="008261B1" w:rsidRDefault="00776FBF" w:rsidP="00907466">
      <w:pPr>
        <w:pStyle w:val="Agency-heading-2"/>
        <w:rPr>
          <w:rFonts w:asciiTheme="majorHAnsi" w:hAnsiTheme="majorHAnsi" w:cstheme="majorHAnsi"/>
        </w:rPr>
      </w:pPr>
      <w:bookmarkStart w:id="18" w:name="_Toc127367778"/>
      <w:r w:rsidRPr="008261B1">
        <w:rPr>
          <w:rFonts w:asciiTheme="majorHAnsi" w:hAnsiTheme="majorHAnsi" w:cstheme="majorHAnsi"/>
          <w:lang w:bidi="it-IT"/>
        </w:rPr>
        <w:t>Azioni chiave</w:t>
      </w:r>
      <w:bookmarkEnd w:id="18"/>
    </w:p>
    <w:p w14:paraId="3575CDB9" w14:textId="1FF291F9"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t>Ciascuna priorità e strategia politica è suddivisa in azioni chiave, quali esempi di attuazione efficace delle relative politiche e strategie. Le azioni chiave riguardano tematiche relative a finanziamento, governance, rafforzamento delle capacità e garanzia della qualità che consentono agli stakeholder di attuare le politiche e le strategie cui si riferiscono.</w:t>
      </w:r>
    </w:p>
    <w:p w14:paraId="5CAA97A9" w14:textId="77777777" w:rsidR="009C62BC" w:rsidRPr="008261B1" w:rsidRDefault="00776FBF" w:rsidP="00AB47C3">
      <w:pPr>
        <w:pStyle w:val="Agency-body-text"/>
        <w:keepNext/>
        <w:rPr>
          <w:rFonts w:asciiTheme="majorHAnsi" w:hAnsiTheme="majorHAnsi" w:cstheme="majorHAnsi"/>
        </w:rPr>
      </w:pPr>
      <w:r w:rsidRPr="008261B1">
        <w:rPr>
          <w:rFonts w:asciiTheme="majorHAnsi" w:hAnsiTheme="majorHAnsi" w:cstheme="majorHAnsi"/>
          <w:lang w:bidi="it-IT"/>
        </w:rPr>
        <w:t>Ogni priorità e strategia politica è costituita da alcune azioni chiave che si integrano a vicenda prendendo in considerazione:</w:t>
      </w:r>
    </w:p>
    <w:p w14:paraId="6F69319E" w14:textId="37D6D37A" w:rsidR="009C62BC" w:rsidRPr="008261B1" w:rsidRDefault="003C0797" w:rsidP="00591FE3">
      <w:pPr>
        <w:pStyle w:val="Agency-body-text"/>
        <w:numPr>
          <w:ilvl w:val="0"/>
          <w:numId w:val="49"/>
        </w:numPr>
        <w:rPr>
          <w:rFonts w:asciiTheme="majorHAnsi" w:hAnsiTheme="majorHAnsi" w:cstheme="majorHAnsi"/>
        </w:rPr>
      </w:pPr>
      <w:r w:rsidRPr="008261B1">
        <w:rPr>
          <w:rFonts w:asciiTheme="majorHAnsi" w:hAnsiTheme="majorHAnsi" w:cstheme="majorHAnsi"/>
          <w:lang w:bidi="it-IT"/>
        </w:rPr>
        <w:t>cosa si dovrebbe fare;</w:t>
      </w:r>
    </w:p>
    <w:p w14:paraId="359F0490" w14:textId="33A8D7BD" w:rsidR="003C0797" w:rsidRPr="008261B1" w:rsidRDefault="003C0797" w:rsidP="00591FE3">
      <w:pPr>
        <w:pStyle w:val="Agency-body-text"/>
        <w:numPr>
          <w:ilvl w:val="0"/>
          <w:numId w:val="49"/>
        </w:numPr>
        <w:rPr>
          <w:rFonts w:asciiTheme="majorHAnsi" w:hAnsiTheme="majorHAnsi" w:cstheme="majorHAnsi"/>
        </w:rPr>
      </w:pPr>
      <w:r w:rsidRPr="008261B1">
        <w:rPr>
          <w:rFonts w:asciiTheme="majorHAnsi" w:hAnsiTheme="majorHAnsi" w:cstheme="majorHAnsi"/>
          <w:lang w:bidi="it-IT"/>
        </w:rPr>
        <w:t>come si dovrebbe fare;</w:t>
      </w:r>
    </w:p>
    <w:p w14:paraId="0361FAE4" w14:textId="70239B1F" w:rsidR="00776FBF" w:rsidRPr="008261B1" w:rsidRDefault="003C0797" w:rsidP="00591FE3">
      <w:pPr>
        <w:pStyle w:val="Agency-body-text"/>
        <w:numPr>
          <w:ilvl w:val="0"/>
          <w:numId w:val="49"/>
        </w:numPr>
        <w:rPr>
          <w:rFonts w:asciiTheme="majorHAnsi" w:hAnsiTheme="majorHAnsi" w:cstheme="majorHAnsi"/>
        </w:rPr>
      </w:pPr>
      <w:r w:rsidRPr="008261B1">
        <w:rPr>
          <w:rFonts w:asciiTheme="majorHAnsi" w:hAnsiTheme="majorHAnsi" w:cstheme="majorHAnsi"/>
          <w:lang w:bidi="it-IT"/>
        </w:rPr>
        <w:t>come verificare l’efficacia.</w:t>
      </w:r>
    </w:p>
    <w:p w14:paraId="60E2B7A5" w14:textId="2102D5BF" w:rsidR="00776FBF" w:rsidRPr="008261B1" w:rsidRDefault="00776FBF" w:rsidP="00AB47C3">
      <w:pPr>
        <w:pStyle w:val="Agency-body-text"/>
        <w:keepNext/>
        <w:rPr>
          <w:rFonts w:asciiTheme="majorHAnsi" w:hAnsiTheme="majorHAnsi" w:cstheme="majorHAnsi"/>
        </w:rPr>
      </w:pPr>
      <w:r w:rsidRPr="008261B1">
        <w:rPr>
          <w:rFonts w:asciiTheme="majorHAnsi" w:hAnsiTheme="majorHAnsi" w:cstheme="majorHAnsi"/>
          <w:lang w:bidi="it-IT"/>
        </w:rPr>
        <w:t>L’attuale quadro dello strumento comprende:</w:t>
      </w:r>
    </w:p>
    <w:p w14:paraId="74AC2555" w14:textId="77777777" w:rsidR="00776FBF" w:rsidRPr="008261B1" w:rsidRDefault="00776FBF" w:rsidP="00591FE3">
      <w:pPr>
        <w:pStyle w:val="Agency-body-text"/>
        <w:numPr>
          <w:ilvl w:val="0"/>
          <w:numId w:val="37"/>
        </w:numPr>
        <w:rPr>
          <w:rFonts w:asciiTheme="majorHAnsi" w:hAnsiTheme="majorHAnsi" w:cstheme="majorHAnsi"/>
        </w:rPr>
      </w:pPr>
      <w:r w:rsidRPr="008261B1">
        <w:rPr>
          <w:rFonts w:asciiTheme="majorHAnsi" w:hAnsiTheme="majorHAnsi" w:cstheme="majorHAnsi"/>
          <w:lang w:bidi="it-IT"/>
        </w:rPr>
        <w:t>6 principi guida</w:t>
      </w:r>
    </w:p>
    <w:p w14:paraId="0B211968" w14:textId="77777777" w:rsidR="00776FBF" w:rsidRPr="008261B1" w:rsidRDefault="00776FBF" w:rsidP="00591FE3">
      <w:pPr>
        <w:pStyle w:val="Agency-body-text"/>
        <w:numPr>
          <w:ilvl w:val="0"/>
          <w:numId w:val="37"/>
        </w:numPr>
        <w:rPr>
          <w:rFonts w:asciiTheme="majorHAnsi" w:hAnsiTheme="majorHAnsi" w:cstheme="majorHAnsi"/>
        </w:rPr>
      </w:pPr>
      <w:r w:rsidRPr="008261B1">
        <w:rPr>
          <w:rFonts w:asciiTheme="majorHAnsi" w:hAnsiTheme="majorHAnsi" w:cstheme="majorHAnsi"/>
          <w:lang w:bidi="it-IT"/>
        </w:rPr>
        <w:t>17 priorità e strategie politiche</w:t>
      </w:r>
    </w:p>
    <w:p w14:paraId="0FD85113" w14:textId="77777777" w:rsidR="00776FBF" w:rsidRPr="008261B1" w:rsidRDefault="00776FBF" w:rsidP="00591FE3">
      <w:pPr>
        <w:pStyle w:val="Agency-body-text"/>
        <w:numPr>
          <w:ilvl w:val="0"/>
          <w:numId w:val="37"/>
        </w:numPr>
        <w:rPr>
          <w:rFonts w:asciiTheme="majorHAnsi" w:hAnsiTheme="majorHAnsi" w:cstheme="majorHAnsi"/>
        </w:rPr>
      </w:pPr>
      <w:r w:rsidRPr="008261B1">
        <w:rPr>
          <w:rFonts w:asciiTheme="majorHAnsi" w:hAnsiTheme="majorHAnsi" w:cstheme="majorHAnsi"/>
          <w:lang w:bidi="it-IT"/>
        </w:rPr>
        <w:t>51 azioni chiave.</w:t>
      </w:r>
    </w:p>
    <w:p w14:paraId="680B3914" w14:textId="15863602" w:rsidR="000D1BFB"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t>Come da figura 1, ciascun principio guida è collegato a svariate priorità e strategie politiche e a diverse azioni chiave, che vanno considerate in modo olistico.</w:t>
      </w:r>
    </w:p>
    <w:p w14:paraId="1199A735" w14:textId="7C21AC4A" w:rsidR="000D1BFB" w:rsidRPr="008261B1" w:rsidRDefault="00FC1006" w:rsidP="00591FE3">
      <w:pPr>
        <w:pStyle w:val="Agency-body-text"/>
        <w:jc w:val="center"/>
        <w:rPr>
          <w:rFonts w:asciiTheme="majorHAnsi" w:hAnsiTheme="majorHAnsi" w:cstheme="majorHAnsi"/>
        </w:rPr>
      </w:pPr>
      <w:r w:rsidRPr="008261B1">
        <w:rPr>
          <w:rFonts w:asciiTheme="majorHAnsi" w:hAnsiTheme="majorHAnsi" w:cstheme="majorHAnsi"/>
          <w:noProof/>
          <w:lang w:val="el-GR" w:eastAsia="el-GR"/>
        </w:rPr>
        <w:lastRenderedPageBreak/>
        <mc:AlternateContent>
          <mc:Choice Requires="wps">
            <w:drawing>
              <wp:anchor distT="0" distB="0" distL="114300" distR="114300" simplePos="0" relativeHeight="251676672" behindDoc="0" locked="0" layoutInCell="1" allowOverlap="1" wp14:anchorId="6E4DD172" wp14:editId="1DDDF2F2">
                <wp:simplePos x="0" y="0"/>
                <wp:positionH relativeFrom="column">
                  <wp:posOffset>3953933</wp:posOffset>
                </wp:positionH>
                <wp:positionV relativeFrom="paragraph">
                  <wp:posOffset>2796963</wp:posOffset>
                </wp:positionV>
                <wp:extent cx="1439333" cy="601134"/>
                <wp:effectExtent l="0" t="0" r="0" b="0"/>
                <wp:wrapNone/>
                <wp:docPr id="17"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6BA82A89" w14:textId="0C80103B" w:rsidR="00FC1006" w:rsidRPr="008261B1"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8261B1">
                              <w:rPr>
                                <w:rFonts w:asciiTheme="majorHAnsi" w:hAnsiTheme="majorHAnsi" w:cstheme="majorHAnsi"/>
                                <w:b/>
                                <w:color w:val="002060"/>
                                <w:kern w:val="24"/>
                                <w:sz w:val="20"/>
                                <w:szCs w:val="18"/>
                                <w:lang w:bidi="it-IT"/>
                              </w:rPr>
                              <w:t>Azione chiave 2 (come)</w:t>
                            </w:r>
                          </w:p>
                          <w:p w14:paraId="2D74BB36" w14:textId="77777777" w:rsidR="00FC1006" w:rsidRPr="008261B1"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8261B1">
                              <w:rPr>
                                <w:rFonts w:asciiTheme="majorHAnsi" w:hAnsiTheme="majorHAnsi" w:cstheme="majorHAnsi"/>
                                <w:b/>
                                <w:color w:val="002060"/>
                                <w:kern w:val="24"/>
                                <w:sz w:val="20"/>
                                <w:szCs w:val="18"/>
                                <w:lang w:bidi="it-IT"/>
                              </w:rPr>
                              <w:t>(azione intrapresa e valutata)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Content Placeholder 5" o:spid="_x0000_s1026" alt="&quot;&quot;" style="position:absolute;left:0;text-align:left;margin-left:311.35pt;margin-top:220.25pt;width:113.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" filled="f" stroked="f">
                <o:lock v:ext="edit" grouping="t"/>
                <v:textbox>
                  <w:txbxContent>
                    <w:p w14:paraId="6BA82A89" w14:textId="0C80103B" w:rsidR="00FC1006" w:rsidRPr="008261B1"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8261B1">
                        <w:rPr>
                          <w:rFonts w:asciiTheme="majorHAnsi" w:hAnsiTheme="majorHAnsi" w:cstheme="majorHAnsi"/>
                          <w:b/>
                          <w:color w:val="002060"/>
                          <w:kern w:val="24"/>
                          <w:sz w:val="20"/>
                          <w:szCs w:val="18"/>
                          <w:lang w:bidi="it-IT"/>
                        </w:rPr>
                        <w:t>Azione chiave 2 (come)</w:t>
                      </w:r>
                    </w:p>
                    <w:p w14:paraId="2D74BB36" w14:textId="77777777" w:rsidR="00FC1006" w:rsidRPr="008261B1"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8261B1">
                        <w:rPr>
                          <w:rFonts w:asciiTheme="majorHAnsi" w:hAnsiTheme="majorHAnsi" w:cstheme="majorHAnsi"/>
                          <w:b/>
                          <w:color w:val="002060"/>
                          <w:kern w:val="24"/>
                          <w:sz w:val="20"/>
                          <w:szCs w:val="18"/>
                          <w:lang w:bidi="it-IT"/>
                        </w:rPr>
                        <w:t>(azione intrapresa e valutata)</w:t>
                      </w:r>
                    </w:p>
                  </w:txbxContent>
                </v:textbox>
              </v:rect>
            </w:pict>
          </mc:Fallback>
        </mc:AlternateContent>
      </w:r>
      <w:r w:rsidRPr="008261B1">
        <w:rPr>
          <w:rFonts w:asciiTheme="majorHAnsi" w:hAnsiTheme="majorHAnsi" w:cstheme="majorHAnsi"/>
          <w:noProof/>
          <w:lang w:val="el-GR" w:eastAsia="el-GR"/>
        </w:rPr>
        <mc:AlternateContent>
          <mc:Choice Requires="wps">
            <w:drawing>
              <wp:anchor distT="0" distB="0" distL="114300" distR="114300" simplePos="0" relativeHeight="251674624" behindDoc="0" locked="0" layoutInCell="1" allowOverlap="1" wp14:anchorId="4F1D80DE" wp14:editId="3BE20D89">
                <wp:simplePos x="0" y="0"/>
                <wp:positionH relativeFrom="column">
                  <wp:posOffset>3955415</wp:posOffset>
                </wp:positionH>
                <wp:positionV relativeFrom="paragraph">
                  <wp:posOffset>1063837</wp:posOffset>
                </wp:positionV>
                <wp:extent cx="1439333" cy="601134"/>
                <wp:effectExtent l="0" t="0" r="0" b="0"/>
                <wp:wrapNone/>
                <wp:docPr id="15"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55170206" w14:textId="27FB57FD" w:rsidR="00FC1006" w:rsidRPr="008261B1"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8261B1">
                              <w:rPr>
                                <w:rFonts w:asciiTheme="majorHAnsi" w:hAnsiTheme="majorHAnsi" w:cstheme="majorHAnsi"/>
                                <w:b/>
                                <w:color w:val="002060"/>
                                <w:kern w:val="24"/>
                                <w:sz w:val="20"/>
                                <w:szCs w:val="18"/>
                                <w:lang w:bidi="it-IT"/>
                              </w:rPr>
                              <w:t>Azione chiave 2 (come)</w:t>
                            </w:r>
                          </w:p>
                          <w:p w14:paraId="6EB5840E" w14:textId="77777777" w:rsidR="00FC1006" w:rsidRPr="008261B1"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8261B1">
                              <w:rPr>
                                <w:rFonts w:asciiTheme="majorHAnsi" w:hAnsiTheme="majorHAnsi" w:cstheme="majorHAnsi"/>
                                <w:b/>
                                <w:color w:val="002060"/>
                                <w:kern w:val="24"/>
                                <w:sz w:val="20"/>
                                <w:szCs w:val="18"/>
                                <w:lang w:bidi="it-IT"/>
                              </w:rPr>
                              <w:t>(azione intrapresa e valutata)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_x0000_s1027" alt="&quot;&quot;" style="position:absolute;left:0;text-align:left;margin-left:311.45pt;margin-top:83.75pt;width:113.35pt;height:4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" filled="f" stroked="f">
                <o:lock v:ext="edit" grouping="t"/>
                <v:textbox>
                  <w:txbxContent>
                    <w:p w14:paraId="55170206" w14:textId="27FB57FD" w:rsidR="00FC1006" w:rsidRPr="008261B1"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8261B1">
                        <w:rPr>
                          <w:rFonts w:asciiTheme="majorHAnsi" w:hAnsiTheme="majorHAnsi" w:cstheme="majorHAnsi"/>
                          <w:b/>
                          <w:color w:val="002060"/>
                          <w:kern w:val="24"/>
                          <w:sz w:val="20"/>
                          <w:szCs w:val="18"/>
                          <w:lang w:bidi="it-IT"/>
                        </w:rPr>
                        <w:t>Azione chiave 2 (come)</w:t>
                      </w:r>
                    </w:p>
                    <w:p w14:paraId="6EB5840E" w14:textId="77777777" w:rsidR="00FC1006" w:rsidRPr="008261B1"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8261B1">
                        <w:rPr>
                          <w:rFonts w:asciiTheme="majorHAnsi" w:hAnsiTheme="majorHAnsi" w:cstheme="majorHAnsi"/>
                          <w:b/>
                          <w:color w:val="002060"/>
                          <w:kern w:val="24"/>
                          <w:sz w:val="20"/>
                          <w:szCs w:val="18"/>
                          <w:lang w:bidi="it-IT"/>
                        </w:rPr>
                        <w:t>(azione intrapresa e valutata)</w:t>
                      </w:r>
                    </w:p>
                  </w:txbxContent>
                </v:textbox>
              </v:rect>
            </w:pict>
          </mc:Fallback>
        </mc:AlternateContent>
      </w:r>
      <w:r w:rsidR="00EC1BAA" w:rsidRPr="008261B1">
        <w:rPr>
          <w:rFonts w:asciiTheme="majorHAnsi" w:hAnsiTheme="majorHAnsi" w:cstheme="majorHAnsi"/>
          <w:noProof/>
          <w:lang w:val="el-GR" w:eastAsia="el-GR"/>
        </w:rPr>
        <mc:AlternateContent>
          <mc:Choice Requires="wps">
            <w:drawing>
              <wp:anchor distT="0" distB="0" distL="114300" distR="114300" simplePos="0" relativeHeight="251672576" behindDoc="0" locked="0" layoutInCell="1" allowOverlap="1" wp14:anchorId="2106683C" wp14:editId="29F6F7D2">
                <wp:simplePos x="0" y="0"/>
                <wp:positionH relativeFrom="column">
                  <wp:posOffset>3953933</wp:posOffset>
                </wp:positionH>
                <wp:positionV relativeFrom="paragraph">
                  <wp:posOffset>1743499</wp:posOffset>
                </wp:positionV>
                <wp:extent cx="1439333" cy="601134"/>
                <wp:effectExtent l="0" t="0" r="0" b="0"/>
                <wp:wrapNone/>
                <wp:docPr id="14"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6209F6D9" w14:textId="77777777" w:rsidR="00EC1BAA" w:rsidRPr="008261B1"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8261B1">
                              <w:rPr>
                                <w:rFonts w:asciiTheme="majorHAnsi" w:hAnsiTheme="majorHAnsi" w:cstheme="majorHAnsi"/>
                                <w:b/>
                                <w:color w:val="002060"/>
                                <w:kern w:val="24"/>
                                <w:sz w:val="20"/>
                                <w:szCs w:val="18"/>
                                <w:lang w:bidi="it-IT"/>
                              </w:rPr>
                              <w:t>Azione chiave 1 (come)</w:t>
                            </w:r>
                          </w:p>
                          <w:p w14:paraId="334FDF24" w14:textId="77777777" w:rsidR="00EC1BAA" w:rsidRPr="008261B1"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8261B1">
                              <w:rPr>
                                <w:rFonts w:asciiTheme="majorHAnsi" w:hAnsiTheme="majorHAnsi" w:cstheme="majorHAnsi"/>
                                <w:b/>
                                <w:color w:val="002060"/>
                                <w:kern w:val="24"/>
                                <w:sz w:val="20"/>
                                <w:szCs w:val="18"/>
                                <w:lang w:bidi="it-IT"/>
                              </w:rPr>
                              <w:t>(azione intrapresa e valutata)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_x0000_s1028" alt="&quot;&quot;" style="position:absolute;left:0;text-align:left;margin-left:311.35pt;margin-top:137.3pt;width:113.35pt;height:4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" filled="f" stroked="f">
                <o:lock v:ext="edit" grouping="t"/>
                <v:textbox>
                  <w:txbxContent>
                    <w:p w14:paraId="6209F6D9" w14:textId="77777777" w:rsidR="00EC1BAA" w:rsidRPr="008261B1"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8261B1">
                        <w:rPr>
                          <w:rFonts w:asciiTheme="majorHAnsi" w:hAnsiTheme="majorHAnsi" w:cstheme="majorHAnsi"/>
                          <w:b/>
                          <w:color w:val="002060"/>
                          <w:kern w:val="24"/>
                          <w:sz w:val="20"/>
                          <w:szCs w:val="18"/>
                          <w:lang w:bidi="it-IT"/>
                        </w:rPr>
                        <w:t>Azione chiave 1 (come)</w:t>
                      </w:r>
                    </w:p>
                    <w:p w14:paraId="334FDF24" w14:textId="77777777" w:rsidR="00EC1BAA" w:rsidRPr="008261B1"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8261B1">
                        <w:rPr>
                          <w:rFonts w:asciiTheme="majorHAnsi" w:hAnsiTheme="majorHAnsi" w:cstheme="majorHAnsi"/>
                          <w:b/>
                          <w:color w:val="002060"/>
                          <w:kern w:val="24"/>
                          <w:sz w:val="20"/>
                          <w:szCs w:val="18"/>
                          <w:lang w:bidi="it-IT"/>
                        </w:rPr>
                        <w:t>(azione intrapresa e valutata)</w:t>
                      </w:r>
                    </w:p>
                  </w:txbxContent>
                </v:textbox>
              </v:rect>
            </w:pict>
          </mc:Fallback>
        </mc:AlternateContent>
      </w:r>
      <w:r w:rsidR="00EC1BAA" w:rsidRPr="008261B1">
        <w:rPr>
          <w:rFonts w:asciiTheme="majorHAnsi" w:hAnsiTheme="majorHAnsi" w:cstheme="majorHAnsi"/>
          <w:noProof/>
          <w:lang w:val="el-GR" w:eastAsia="el-GR"/>
        </w:rPr>
        <mc:AlternateContent>
          <mc:Choice Requires="wps">
            <w:drawing>
              <wp:anchor distT="0" distB="0" distL="114300" distR="114300" simplePos="0" relativeHeight="251670528" behindDoc="0" locked="0" layoutInCell="1" allowOverlap="1" wp14:anchorId="39D7C0DB" wp14:editId="6D38D3F6">
                <wp:simplePos x="0" y="0"/>
                <wp:positionH relativeFrom="column">
                  <wp:posOffset>3955415</wp:posOffset>
                </wp:positionH>
                <wp:positionV relativeFrom="paragraph">
                  <wp:posOffset>-2752</wp:posOffset>
                </wp:positionV>
                <wp:extent cx="1439333" cy="601134"/>
                <wp:effectExtent l="0" t="0" r="0" b="0"/>
                <wp:wrapNone/>
                <wp:docPr id="42"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404D59C1" w14:textId="77777777" w:rsidR="00EC1BAA" w:rsidRPr="008261B1"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8261B1">
                              <w:rPr>
                                <w:rFonts w:asciiTheme="majorHAnsi" w:hAnsiTheme="majorHAnsi" w:cstheme="majorHAnsi"/>
                                <w:b/>
                                <w:color w:val="002060"/>
                                <w:kern w:val="24"/>
                                <w:sz w:val="20"/>
                                <w:szCs w:val="18"/>
                                <w:lang w:bidi="it-IT"/>
                              </w:rPr>
                              <w:t>Azione chiave 1 (come)</w:t>
                            </w:r>
                          </w:p>
                          <w:p w14:paraId="72790EA9" w14:textId="77777777" w:rsidR="00EC1BAA" w:rsidRPr="008261B1"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8261B1">
                              <w:rPr>
                                <w:rFonts w:asciiTheme="majorHAnsi" w:hAnsiTheme="majorHAnsi" w:cstheme="majorHAnsi"/>
                                <w:b/>
                                <w:color w:val="002060"/>
                                <w:kern w:val="24"/>
                                <w:sz w:val="20"/>
                                <w:szCs w:val="18"/>
                                <w:lang w:bidi="it-IT"/>
                              </w:rPr>
                              <w:t>(azione intrapresa e valutata)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_x0000_s1029" alt="&quot;&quot;" style="position:absolute;left:0;text-align:left;margin-left:311.45pt;margin-top:-.2pt;width:113.35pt;height:4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" filled="f" stroked="f">
                <o:lock v:ext="edit" grouping="t"/>
                <v:textbox>
                  <w:txbxContent>
                    <w:p w14:paraId="404D59C1" w14:textId="77777777" w:rsidR="00EC1BAA" w:rsidRPr="008261B1"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8261B1">
                        <w:rPr>
                          <w:rFonts w:asciiTheme="majorHAnsi" w:hAnsiTheme="majorHAnsi" w:cstheme="majorHAnsi"/>
                          <w:b/>
                          <w:color w:val="002060"/>
                          <w:kern w:val="24"/>
                          <w:sz w:val="20"/>
                          <w:szCs w:val="18"/>
                          <w:lang w:bidi="it-IT"/>
                        </w:rPr>
                        <w:t>Azione chiave 1 (come)</w:t>
                      </w:r>
                    </w:p>
                    <w:p w14:paraId="72790EA9" w14:textId="77777777" w:rsidR="00EC1BAA" w:rsidRPr="008261B1"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8261B1">
                        <w:rPr>
                          <w:rFonts w:asciiTheme="majorHAnsi" w:hAnsiTheme="majorHAnsi" w:cstheme="majorHAnsi"/>
                          <w:b/>
                          <w:color w:val="002060"/>
                          <w:kern w:val="24"/>
                          <w:sz w:val="20"/>
                          <w:szCs w:val="18"/>
                          <w:lang w:bidi="it-IT"/>
                        </w:rPr>
                        <w:t>(azione intrapresa e valutata)</w:t>
                      </w:r>
                    </w:p>
                  </w:txbxContent>
                </v:textbox>
              </v:rect>
            </w:pict>
          </mc:Fallback>
        </mc:AlternateContent>
      </w:r>
      <w:r w:rsidR="00942D91" w:rsidRPr="008261B1">
        <w:rPr>
          <w:rFonts w:asciiTheme="majorHAnsi" w:hAnsiTheme="majorHAnsi" w:cstheme="majorHAnsi"/>
          <w:noProof/>
          <w:lang w:val="el-GR" w:eastAsia="el-GR"/>
        </w:rPr>
        <mc:AlternateContent>
          <mc:Choice Requires="wps">
            <w:drawing>
              <wp:anchor distT="0" distB="0" distL="114300" distR="114300" simplePos="0" relativeHeight="251668480" behindDoc="0" locked="0" layoutInCell="1" allowOverlap="1" wp14:anchorId="262D0B3E" wp14:editId="05CD6AC5">
                <wp:simplePos x="0" y="0"/>
                <wp:positionH relativeFrom="column">
                  <wp:posOffset>1957283</wp:posOffset>
                </wp:positionH>
                <wp:positionV relativeFrom="paragraph">
                  <wp:posOffset>2274782</wp:posOffset>
                </wp:positionV>
                <wp:extent cx="1413510" cy="584200"/>
                <wp:effectExtent l="0" t="0" r="0" b="0"/>
                <wp:wrapNone/>
                <wp:docPr id="8"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584200"/>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925A8FE" w14:textId="706B535C" w:rsidR="00942D91" w:rsidRPr="008261B1"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8261B1">
                              <w:rPr>
                                <w:rFonts w:asciiTheme="majorHAnsi" w:hAnsiTheme="majorHAnsi" w:cstheme="majorHAnsi"/>
                                <w:b/>
                                <w:color w:val="002060"/>
                                <w:kern w:val="24"/>
                                <w:sz w:val="22"/>
                                <w:lang w:bidi="it-IT"/>
                              </w:rPr>
                              <w:t>Priorità e strategia politica 2 (cosa)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Content Placeholder 3" o:spid="_x0000_s1030" alt="&quot;&quot;" style="position:absolute;left:0;text-align:left;margin-left:154.1pt;margin-top:179.1pt;width:111.3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" filled="f" stroked="f">
                <o:lock v:ext="edit" grouping="t"/>
                <v:textbox>
                  <w:txbxContent>
                    <w:p w14:paraId="2925A8FE" w14:textId="706B535C" w:rsidR="00942D91" w:rsidRPr="008261B1"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8261B1">
                        <w:rPr>
                          <w:rFonts w:asciiTheme="majorHAnsi" w:hAnsiTheme="majorHAnsi" w:cstheme="majorHAnsi"/>
                          <w:b/>
                          <w:color w:val="002060"/>
                          <w:kern w:val="24"/>
                          <w:sz w:val="22"/>
                          <w:lang w:bidi="it-IT"/>
                        </w:rPr>
                        <w:t>Priorità e strategia politica 2 (cosa)</w:t>
                      </w:r>
                    </w:p>
                  </w:txbxContent>
                </v:textbox>
              </v:rect>
            </w:pict>
          </mc:Fallback>
        </mc:AlternateContent>
      </w:r>
      <w:r w:rsidR="00C053AD" w:rsidRPr="008261B1">
        <w:rPr>
          <w:rFonts w:asciiTheme="majorHAnsi" w:hAnsiTheme="majorHAnsi" w:cstheme="majorHAnsi"/>
          <w:noProof/>
          <w:lang w:val="el-GR" w:eastAsia="el-GR"/>
        </w:rPr>
        <mc:AlternateContent>
          <mc:Choice Requires="wps">
            <w:drawing>
              <wp:anchor distT="0" distB="0" distL="114300" distR="114300" simplePos="0" relativeHeight="251666432"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7EF9C779" w14:textId="77777777" w:rsidR="00C053AD" w:rsidRPr="008261B1"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8261B1">
                              <w:rPr>
                                <w:rFonts w:asciiTheme="majorHAnsi" w:hAnsiTheme="majorHAnsi" w:cstheme="majorHAnsi"/>
                                <w:b/>
                                <w:color w:val="002060"/>
                                <w:kern w:val="24"/>
                                <w:sz w:val="22"/>
                                <w:lang w:bidi="it-IT"/>
                              </w:rPr>
                              <w:t>Priorità e strategia politica 1 (cosa)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_x0000_s1031" alt="&quot;&quot;" style="position:absolute;left:0;text-align:left;margin-left:154.1pt;margin-top:40.45pt;width:111.35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" filled="f" stroked="f">
                <o:lock v:ext="edit" grouping="t"/>
                <v:textbox>
                  <w:txbxContent>
                    <w:p w14:paraId="7EF9C779" w14:textId="77777777" w:rsidR="00C053AD" w:rsidRPr="008261B1"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8261B1">
                        <w:rPr>
                          <w:rFonts w:asciiTheme="majorHAnsi" w:hAnsiTheme="majorHAnsi" w:cstheme="majorHAnsi"/>
                          <w:b/>
                          <w:color w:val="002060"/>
                          <w:kern w:val="24"/>
                          <w:sz w:val="22"/>
                          <w:lang w:bidi="it-IT"/>
                        </w:rPr>
                        <w:t>Priorità e strategia politica 1 (cosa)</w:t>
                      </w:r>
                    </w:p>
                  </w:txbxContent>
                </v:textbox>
              </v:rect>
            </w:pict>
          </mc:Fallback>
        </mc:AlternateContent>
      </w:r>
      <w:r w:rsidR="001E2C09" w:rsidRPr="008261B1">
        <w:rPr>
          <w:rFonts w:asciiTheme="majorHAnsi" w:hAnsiTheme="majorHAnsi" w:cstheme="majorHAnsi"/>
          <w:noProof/>
          <w:lang w:val="el-GR" w:eastAsia="el-GR"/>
        </w:rPr>
        <mc:AlternateContent>
          <mc:Choice Requires="wps">
            <w:drawing>
              <wp:anchor distT="0" distB="0" distL="114300" distR="114300" simplePos="0" relativeHeight="251664384" behindDoc="0" locked="0" layoutInCell="1" allowOverlap="1" wp14:anchorId="6A1D3524" wp14:editId="5B6A9829">
                <wp:simplePos x="0" y="0"/>
                <wp:positionH relativeFrom="column">
                  <wp:posOffset>1270</wp:posOffset>
                </wp:positionH>
                <wp:positionV relativeFrom="paragraph">
                  <wp:posOffset>1292860</wp:posOffset>
                </wp:positionV>
                <wp:extent cx="1448918" cy="632709"/>
                <wp:effectExtent l="0" t="0" r="0" b="0"/>
                <wp:wrapNone/>
                <wp:docPr id="43"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85C5C2A" w14:textId="77777777" w:rsidR="001E2C09" w:rsidRPr="008261B1"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8261B1">
                              <w:rPr>
                                <w:rFonts w:asciiTheme="majorHAnsi" w:hAnsiTheme="majorHAnsi" w:cstheme="majorHAnsi"/>
                                <w:b/>
                                <w:color w:val="002060"/>
                                <w:kern w:val="24"/>
                                <w:sz w:val="22"/>
                                <w:lang w:bidi="it-IT"/>
                              </w:rPr>
                              <w:t>Principio guida 1</w:t>
                            </w:r>
                          </w:p>
                          <w:p w14:paraId="7A4883E8" w14:textId="77777777" w:rsidR="001E2C09" w:rsidRPr="008261B1"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8261B1">
                              <w:rPr>
                                <w:rFonts w:asciiTheme="majorHAnsi" w:hAnsiTheme="majorHAnsi" w:cstheme="majorHAnsi"/>
                                <w:b/>
                                <w:color w:val="002060"/>
                                <w:kern w:val="24"/>
                                <w:sz w:val="22"/>
                                <w:lang w:bidi="it-IT"/>
                              </w:rPr>
                              <w:t>(perché)</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Content Placeholder 2" o:spid="_x0000_s1032" alt="&quot;&quot;" style="position:absolute;left:0;text-align:left;margin-left:.1pt;margin-top:101.8pt;width:114.1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" filled="f" stroked="f">
                <o:lock v:ext="edit" grouping="t"/>
                <v:textbox>
                  <w:txbxContent>
                    <w:p w14:paraId="285C5C2A" w14:textId="77777777" w:rsidR="001E2C09" w:rsidRPr="008261B1"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8261B1">
                        <w:rPr>
                          <w:rFonts w:asciiTheme="majorHAnsi" w:hAnsiTheme="majorHAnsi" w:cstheme="majorHAnsi"/>
                          <w:b/>
                          <w:color w:val="002060"/>
                          <w:kern w:val="24"/>
                          <w:sz w:val="22"/>
                          <w:lang w:bidi="it-IT"/>
                        </w:rPr>
                        <w:t>Principio guida 1</w:t>
                      </w:r>
                    </w:p>
                    <w:p w14:paraId="7A4883E8" w14:textId="77777777" w:rsidR="001E2C09" w:rsidRPr="008261B1"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8261B1">
                        <w:rPr>
                          <w:rFonts w:asciiTheme="majorHAnsi" w:hAnsiTheme="majorHAnsi" w:cstheme="majorHAnsi"/>
                          <w:b/>
                          <w:color w:val="002060"/>
                          <w:kern w:val="24"/>
                          <w:sz w:val="22"/>
                          <w:lang w:bidi="it-IT"/>
                        </w:rPr>
                        <w:t>(perché)</w:t>
                      </w:r>
                    </w:p>
                  </w:txbxContent>
                </v:textbox>
              </v:rect>
            </w:pict>
          </mc:Fallback>
        </mc:AlternateContent>
      </w:r>
      <w:r w:rsidR="000D1BFB" w:rsidRPr="008261B1">
        <w:rPr>
          <w:rFonts w:asciiTheme="majorHAnsi" w:hAnsiTheme="majorHAnsi" w:cstheme="majorHAnsi"/>
          <w:noProof/>
          <w:lang w:val="el-GR" w:eastAsia="el-GR"/>
        </w:rPr>
        <w:drawing>
          <wp:inline distT="0" distB="0" distL="0" distR="0" wp14:anchorId="6098A072" wp14:editId="16E432FE">
            <wp:extent cx="5611495" cy="3408999"/>
            <wp:effectExtent l="0" t="0" r="0" b="0"/>
            <wp:docPr id="40" name="Picture 40" descr="Diagramma di flusso che mostra come ciascun principio guida (livello 1) conduca a priorità e strategie politiche (livello 2), che a loro volta conducono ad azioni chiave (livello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ma di flusso che mostra come ciascun principio guida (livello 1) conduca a priorità e strategie politiche (livello 2), che a loro volta conducono ad azioni chiave (livello 3)">
                      <a:extLst>
                        <a:ext uri="{C183D7F6-B498-43B3-948B-1728B52AA6E4}">
                          <adec:decorative xmlns:adec="http://schemas.microsoft.com/office/drawing/2017/decorative" val="0"/>
                        </a:ext>
                      </a:extLst>
                    </pic:cNvPr>
                    <pic:cNvPicPr/>
                  </pic:nvPicPr>
                  <pic:blipFill>
                    <a:blip r:embed="rId40"/>
                    <a:stretch>
                      <a:fillRect/>
                    </a:stretch>
                  </pic:blipFill>
                  <pic:spPr>
                    <a:xfrm>
                      <a:off x="0" y="0"/>
                      <a:ext cx="5611495" cy="3408999"/>
                    </a:xfrm>
                    <a:prstGeom prst="rect">
                      <a:avLst/>
                    </a:prstGeom>
                  </pic:spPr>
                </pic:pic>
              </a:graphicData>
            </a:graphic>
          </wp:inline>
        </w:drawing>
      </w:r>
    </w:p>
    <w:p w14:paraId="32F97F47" w14:textId="4570561F" w:rsidR="00776FBF" w:rsidRPr="008261B1" w:rsidRDefault="008B29C7" w:rsidP="00591FE3">
      <w:pPr>
        <w:pStyle w:val="Agency-caption"/>
        <w:rPr>
          <w:rFonts w:asciiTheme="majorHAnsi" w:hAnsiTheme="majorHAnsi" w:cstheme="majorHAnsi"/>
        </w:rPr>
      </w:pPr>
      <w:r w:rsidRPr="008261B1">
        <w:rPr>
          <w:rFonts w:asciiTheme="majorHAnsi" w:hAnsiTheme="majorHAnsi" w:cstheme="majorHAnsi"/>
          <w:lang w:bidi="it-IT"/>
        </w:rPr>
        <w:t xml:space="preserve">Figura </w:t>
      </w:r>
      <w:r w:rsidR="00986F3F" w:rsidRPr="008261B1">
        <w:rPr>
          <w:rFonts w:asciiTheme="majorHAnsi" w:hAnsiTheme="majorHAnsi" w:cstheme="majorHAnsi"/>
          <w:lang w:bidi="it-IT"/>
        </w:rPr>
        <w:fldChar w:fldCharType="begin"/>
      </w:r>
      <w:r w:rsidR="00986F3F" w:rsidRPr="008261B1">
        <w:rPr>
          <w:rFonts w:asciiTheme="majorHAnsi" w:hAnsiTheme="majorHAnsi" w:cstheme="majorHAnsi"/>
          <w:lang w:bidi="it-IT"/>
        </w:rPr>
        <w:instrText xml:space="preserve"> SEQ Figure \* ARABIC </w:instrText>
      </w:r>
      <w:r w:rsidR="00986F3F" w:rsidRPr="008261B1">
        <w:rPr>
          <w:rFonts w:asciiTheme="majorHAnsi" w:hAnsiTheme="majorHAnsi" w:cstheme="majorHAnsi"/>
          <w:lang w:bidi="it-IT"/>
        </w:rPr>
        <w:fldChar w:fldCharType="separate"/>
      </w:r>
      <w:r w:rsidRPr="008261B1">
        <w:rPr>
          <w:rFonts w:asciiTheme="majorHAnsi" w:hAnsiTheme="majorHAnsi" w:cstheme="majorHAnsi"/>
          <w:lang w:bidi="it-IT"/>
        </w:rPr>
        <w:t>1</w:t>
      </w:r>
      <w:r w:rsidR="00986F3F" w:rsidRPr="008261B1">
        <w:rPr>
          <w:rFonts w:asciiTheme="majorHAnsi" w:hAnsiTheme="majorHAnsi" w:cstheme="majorHAnsi"/>
          <w:lang w:bidi="it-IT"/>
        </w:rPr>
        <w:fldChar w:fldCharType="end"/>
      </w:r>
      <w:r w:rsidRPr="008261B1">
        <w:rPr>
          <w:rFonts w:asciiTheme="majorHAnsi" w:hAnsiTheme="majorHAnsi" w:cstheme="majorHAnsi"/>
          <w:lang w:bidi="it-IT"/>
        </w:rPr>
        <w:t xml:space="preserve">. </w:t>
      </w:r>
      <w:bookmarkStart w:id="19" w:name="_Ref96944085"/>
      <w:r w:rsidRPr="008261B1">
        <w:rPr>
          <w:rFonts w:asciiTheme="majorHAnsi" w:hAnsiTheme="majorHAnsi" w:cstheme="majorHAnsi"/>
          <w:lang w:bidi="it-IT"/>
        </w:rPr>
        <w:t>Connessioni tra principi guida, priorità/strategie politiche e azioni chiave</w:t>
      </w:r>
      <w:bookmarkEnd w:id="19"/>
    </w:p>
    <w:p w14:paraId="28949F83" w14:textId="1C86D838"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br w:type="page"/>
      </w:r>
    </w:p>
    <w:p w14:paraId="68B81A76" w14:textId="75A9CC86" w:rsidR="00776FBF" w:rsidRPr="008261B1" w:rsidRDefault="00D34F24" w:rsidP="00907466">
      <w:pPr>
        <w:pStyle w:val="Agency-heading-1"/>
        <w:rPr>
          <w:rFonts w:asciiTheme="majorHAnsi" w:hAnsiTheme="majorHAnsi" w:cstheme="majorHAnsi"/>
        </w:rPr>
      </w:pPr>
      <w:bookmarkStart w:id="20" w:name="annex3"/>
      <w:bookmarkStart w:id="21" w:name="_Toc127367779"/>
      <w:r w:rsidRPr="008261B1">
        <w:rPr>
          <w:rFonts w:asciiTheme="majorHAnsi" w:hAnsiTheme="majorHAnsi" w:cstheme="majorHAnsi"/>
          <w:lang w:bidi="it-IT"/>
        </w:rPr>
        <w:lastRenderedPageBreak/>
        <w:t>Allegato 3</w:t>
      </w:r>
      <w:bookmarkEnd w:id="20"/>
      <w:r w:rsidRPr="008261B1">
        <w:rPr>
          <w:rFonts w:asciiTheme="majorHAnsi" w:hAnsiTheme="majorHAnsi" w:cstheme="majorHAnsi"/>
          <w:lang w:bidi="it-IT"/>
        </w:rPr>
        <w:t>: validazione dello strumento di autovalutazione a livello nazionale</w:t>
      </w:r>
      <w:bookmarkEnd w:id="21"/>
    </w:p>
    <w:p w14:paraId="084D0CC7" w14:textId="77777777" w:rsidR="009C62BC"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t>Lo strumento di autovalutazione è un documento open-source. Gli utilizzatori possono tradurlo e adattarlo al proprio contesto nazionale.</w:t>
      </w:r>
    </w:p>
    <w:p w14:paraId="3502B3D6" w14:textId="212762C7" w:rsidR="009C62BC"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t xml:space="preserve">La </w:t>
      </w:r>
      <w:r w:rsidRPr="008261B1">
        <w:rPr>
          <w:rFonts w:asciiTheme="majorHAnsi" w:hAnsiTheme="majorHAnsi" w:cstheme="majorHAnsi"/>
          <w:b/>
          <w:lang w:bidi="it-IT"/>
        </w:rPr>
        <w:t xml:space="preserve">prima fase </w:t>
      </w:r>
      <w:r w:rsidRPr="008261B1">
        <w:rPr>
          <w:rFonts w:asciiTheme="majorHAnsi" w:hAnsiTheme="majorHAnsi" w:cstheme="majorHAnsi"/>
          <w:lang w:bidi="it-IT"/>
        </w:rPr>
        <w:t>per adattare lo strumento prevede un processo di validazione, che comporta l’individuazione degli attori chiave nei diversi gruppi di stakeholder, rappresentativi di prospettive diverse.</w:t>
      </w:r>
    </w:p>
    <w:p w14:paraId="4020027F" w14:textId="3007C44E" w:rsidR="00776FBF" w:rsidRPr="008261B1" w:rsidRDefault="00776FBF" w:rsidP="00AB47C3">
      <w:pPr>
        <w:pStyle w:val="Agency-body-text"/>
        <w:keepNext/>
        <w:rPr>
          <w:rFonts w:asciiTheme="majorHAnsi" w:hAnsiTheme="majorHAnsi" w:cstheme="majorHAnsi"/>
        </w:rPr>
      </w:pPr>
      <w:r w:rsidRPr="008261B1">
        <w:rPr>
          <w:rFonts w:asciiTheme="majorHAnsi" w:hAnsiTheme="majorHAnsi" w:cstheme="majorHAnsi"/>
          <w:lang w:bidi="it-IT"/>
        </w:rPr>
        <w:t>Gli attori chiave selezionati possono essere:</w:t>
      </w:r>
    </w:p>
    <w:p w14:paraId="270C9742" w14:textId="20DB3F8E" w:rsidR="00776FBF" w:rsidRPr="008261B1" w:rsidRDefault="00B35353" w:rsidP="00591FE3">
      <w:pPr>
        <w:pStyle w:val="Agency-body-text"/>
        <w:numPr>
          <w:ilvl w:val="0"/>
          <w:numId w:val="42"/>
        </w:numPr>
        <w:rPr>
          <w:rFonts w:asciiTheme="majorHAnsi" w:hAnsiTheme="majorHAnsi" w:cstheme="majorHAnsi"/>
        </w:rPr>
      </w:pPr>
      <w:r w:rsidRPr="008261B1">
        <w:rPr>
          <w:rFonts w:asciiTheme="majorHAnsi" w:hAnsiTheme="majorHAnsi" w:cstheme="majorHAnsi"/>
          <w:lang w:bidi="it-IT"/>
        </w:rPr>
        <w:t>decisori a livello nazionale, regionale e locale, provenienti dal settore dell’istruzione o da settori correlati (ad es. salute e welfare);</w:t>
      </w:r>
    </w:p>
    <w:p w14:paraId="29137FA4" w14:textId="1621FB70" w:rsidR="00776FBF" w:rsidRPr="008261B1" w:rsidRDefault="00B35353" w:rsidP="00591FE3">
      <w:pPr>
        <w:pStyle w:val="Agency-body-text"/>
        <w:numPr>
          <w:ilvl w:val="0"/>
          <w:numId w:val="42"/>
        </w:numPr>
        <w:rPr>
          <w:rFonts w:asciiTheme="majorHAnsi" w:hAnsiTheme="majorHAnsi" w:cstheme="majorHAnsi"/>
        </w:rPr>
      </w:pPr>
      <w:r w:rsidRPr="008261B1">
        <w:rPr>
          <w:rFonts w:asciiTheme="majorHAnsi" w:hAnsiTheme="majorHAnsi" w:cstheme="majorHAnsi"/>
          <w:lang w:bidi="it-IT"/>
        </w:rPr>
        <w:t>dirigenti scolastici e team di direzione, nonché professionisti dell’offerta educativa ordinaria e delle prestazioni (compreso il personale di sostegno e il personale specializzato);</w:t>
      </w:r>
    </w:p>
    <w:p w14:paraId="6C14870C" w14:textId="111FDC94" w:rsidR="00776FBF" w:rsidRPr="008261B1" w:rsidRDefault="00B35353" w:rsidP="00591FE3">
      <w:pPr>
        <w:pStyle w:val="Agency-body-text"/>
        <w:numPr>
          <w:ilvl w:val="0"/>
          <w:numId w:val="42"/>
        </w:numPr>
        <w:rPr>
          <w:rFonts w:asciiTheme="majorHAnsi" w:hAnsiTheme="majorHAnsi" w:cstheme="majorHAnsi"/>
        </w:rPr>
      </w:pPr>
      <w:r w:rsidRPr="008261B1">
        <w:rPr>
          <w:rFonts w:asciiTheme="majorHAnsi" w:hAnsiTheme="majorHAnsi" w:cstheme="majorHAnsi"/>
          <w:lang w:bidi="it-IT"/>
        </w:rPr>
        <w:t>rappresentanti di organizzazioni familiari, giovanili e della comunità, amministratori e funzionari eletti, come membri del consiglio scolastico, consiglieri comunali e rappresentanti dello Stato.</w:t>
      </w:r>
    </w:p>
    <w:p w14:paraId="6A8DDAB5" w14:textId="77777777"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t xml:space="preserve">L’elenco è puramente </w:t>
      </w:r>
      <w:r w:rsidRPr="008261B1">
        <w:rPr>
          <w:rFonts w:asciiTheme="majorHAnsi" w:hAnsiTheme="majorHAnsi" w:cstheme="majorHAnsi"/>
          <w:b/>
          <w:lang w:bidi="it-IT"/>
        </w:rPr>
        <w:t>indicativo</w:t>
      </w:r>
      <w:r w:rsidRPr="008261B1">
        <w:rPr>
          <w:rFonts w:asciiTheme="majorHAnsi" w:hAnsiTheme="majorHAnsi" w:cstheme="majorHAnsi"/>
          <w:lang w:bidi="it-IT"/>
        </w:rPr>
        <w:t>, poiché i gruppi di stakeholder possono variare da un paese all’altro.</w:t>
      </w:r>
    </w:p>
    <w:p w14:paraId="5F0C3BA0" w14:textId="1FE837D6" w:rsidR="00776FBF" w:rsidRPr="008261B1" w:rsidRDefault="00776FBF" w:rsidP="00591FE3">
      <w:pPr>
        <w:pStyle w:val="Agency-body-text"/>
        <w:rPr>
          <w:rFonts w:asciiTheme="majorHAnsi" w:hAnsiTheme="majorHAnsi" w:cstheme="majorHAnsi"/>
        </w:rPr>
      </w:pPr>
      <w:r w:rsidRPr="008261B1">
        <w:rPr>
          <w:rFonts w:asciiTheme="majorHAnsi" w:hAnsiTheme="majorHAnsi" w:cstheme="majorHAnsi"/>
          <w:lang w:bidi="it-IT"/>
        </w:rPr>
        <w:t xml:space="preserve">La </w:t>
      </w:r>
      <w:r w:rsidRPr="008261B1">
        <w:rPr>
          <w:rFonts w:asciiTheme="majorHAnsi" w:hAnsiTheme="majorHAnsi" w:cstheme="majorHAnsi"/>
          <w:b/>
          <w:lang w:bidi="it-IT"/>
        </w:rPr>
        <w:t>seconda fase</w:t>
      </w:r>
      <w:r w:rsidRPr="008261B1">
        <w:rPr>
          <w:rFonts w:asciiTheme="majorHAnsi" w:hAnsiTheme="majorHAnsi" w:cstheme="majorHAnsi"/>
          <w:lang w:bidi="it-IT"/>
        </w:rPr>
        <w:t xml:space="preserve"> consiste nell’invitare gli stakeholder selezionati a convalidare lo strumento. Ciò può avvenire durante laboratori, gruppi di discussione e/o colloqui individuali o di gruppo per esplorarne l’adeguatezza da un punto di vista culturale e l’utilità.</w:t>
      </w:r>
    </w:p>
    <w:p w14:paraId="73585C36" w14:textId="2A5EE9A9" w:rsidR="00776FBF" w:rsidRPr="008261B1" w:rsidRDefault="00776FBF" w:rsidP="00907466">
      <w:pPr>
        <w:pStyle w:val="Agency-body-text"/>
        <w:keepNext/>
        <w:rPr>
          <w:rFonts w:asciiTheme="majorHAnsi" w:hAnsiTheme="majorHAnsi" w:cstheme="majorHAnsi"/>
        </w:rPr>
      </w:pPr>
      <w:r w:rsidRPr="008261B1">
        <w:rPr>
          <w:rFonts w:asciiTheme="majorHAnsi" w:hAnsiTheme="majorHAnsi" w:cstheme="majorHAnsi"/>
          <w:lang w:bidi="it-IT"/>
        </w:rPr>
        <w:t>Durante il processo di validazione, ai partecipanti può essere chiesto di rispondere alle seguenti domande:</w:t>
      </w:r>
    </w:p>
    <w:p w14:paraId="1FD683D2" w14:textId="1636B158" w:rsidR="00776FBF" w:rsidRPr="008261B1" w:rsidRDefault="005F0EC6" w:rsidP="00591FE3">
      <w:pPr>
        <w:pStyle w:val="Agency-body-text"/>
        <w:numPr>
          <w:ilvl w:val="0"/>
          <w:numId w:val="44"/>
        </w:numPr>
        <w:rPr>
          <w:rFonts w:asciiTheme="majorHAnsi" w:hAnsiTheme="majorHAnsi" w:cstheme="majorHAnsi"/>
        </w:rPr>
      </w:pPr>
      <w:r w:rsidRPr="008261B1">
        <w:rPr>
          <w:rFonts w:asciiTheme="majorHAnsi" w:hAnsiTheme="majorHAnsi" w:cstheme="majorHAnsi"/>
          <w:lang w:bidi="it-IT"/>
        </w:rPr>
        <w:t>Lo scopo e i concetti dello strumento sono chiari?</w:t>
      </w:r>
    </w:p>
    <w:p w14:paraId="038BE10A" w14:textId="77777777" w:rsidR="00776FBF" w:rsidRPr="008261B1" w:rsidRDefault="00776FBF" w:rsidP="00591FE3">
      <w:pPr>
        <w:pStyle w:val="Agency-body-text"/>
        <w:numPr>
          <w:ilvl w:val="0"/>
          <w:numId w:val="44"/>
        </w:numPr>
        <w:rPr>
          <w:rFonts w:asciiTheme="majorHAnsi" w:hAnsiTheme="majorHAnsi" w:cstheme="majorHAnsi"/>
        </w:rPr>
      </w:pPr>
      <w:r w:rsidRPr="008261B1">
        <w:rPr>
          <w:rFonts w:asciiTheme="majorHAnsi" w:hAnsiTheme="majorHAnsi" w:cstheme="majorHAnsi"/>
          <w:lang w:bidi="it-IT"/>
        </w:rPr>
        <w:t>In che misura lo strumento è facile da usare?</w:t>
      </w:r>
    </w:p>
    <w:p w14:paraId="65B89298" w14:textId="77777777" w:rsidR="00FE2827" w:rsidRPr="008261B1" w:rsidRDefault="00776FBF" w:rsidP="00591FE3">
      <w:pPr>
        <w:pStyle w:val="Agency-body-text"/>
        <w:numPr>
          <w:ilvl w:val="0"/>
          <w:numId w:val="44"/>
        </w:numPr>
        <w:rPr>
          <w:rFonts w:asciiTheme="majorHAnsi" w:eastAsia="MS PGothic" w:hAnsiTheme="majorHAnsi" w:cstheme="majorHAnsi"/>
        </w:rPr>
      </w:pPr>
      <w:r w:rsidRPr="008261B1">
        <w:rPr>
          <w:rFonts w:asciiTheme="majorHAnsi" w:hAnsiTheme="majorHAnsi" w:cstheme="majorHAnsi"/>
          <w:lang w:bidi="it-IT"/>
        </w:rPr>
        <w:t>In che misura è significativo/pertinente alle esigenze dei partecipanti?</w:t>
      </w:r>
    </w:p>
    <w:p w14:paraId="78B64897" w14:textId="77A73C13" w:rsidR="00776FBF" w:rsidRPr="008261B1" w:rsidRDefault="00776FBF" w:rsidP="00591FE3">
      <w:pPr>
        <w:pStyle w:val="Agency-body-text"/>
        <w:numPr>
          <w:ilvl w:val="0"/>
          <w:numId w:val="44"/>
        </w:numPr>
        <w:rPr>
          <w:rFonts w:asciiTheme="majorHAnsi" w:hAnsiTheme="majorHAnsi" w:cstheme="majorHAnsi"/>
        </w:rPr>
      </w:pPr>
      <w:r w:rsidRPr="008261B1">
        <w:rPr>
          <w:rFonts w:asciiTheme="majorHAnsi" w:hAnsiTheme="majorHAnsi" w:cstheme="majorHAnsi"/>
          <w:lang w:bidi="it-IT"/>
        </w:rPr>
        <w:t>In che misura potrebbe aiutare le discussioni sull’educazione inclusiva?</w:t>
      </w:r>
    </w:p>
    <w:p w14:paraId="040BBB5A" w14:textId="39CDC4DA" w:rsidR="00776FBF" w:rsidRPr="008261B1" w:rsidRDefault="00776FBF" w:rsidP="00907466">
      <w:pPr>
        <w:pStyle w:val="Agency-body-text"/>
        <w:keepNext/>
        <w:rPr>
          <w:rFonts w:asciiTheme="majorHAnsi" w:hAnsiTheme="majorHAnsi" w:cstheme="majorHAnsi"/>
        </w:rPr>
      </w:pPr>
      <w:r w:rsidRPr="008261B1">
        <w:rPr>
          <w:rFonts w:asciiTheme="majorHAnsi" w:hAnsiTheme="majorHAnsi" w:cstheme="majorHAnsi"/>
          <w:lang w:bidi="it-IT"/>
        </w:rPr>
        <w:t>Le risposte a queste domande mirano a determinare quali adeguamenti sono necessari per rendere lo strumento pertinente al contesto nazionale. Ad esempio può essere necessario:</w:t>
      </w:r>
    </w:p>
    <w:p w14:paraId="511F0DC9" w14:textId="197146F5" w:rsidR="00776FBF" w:rsidRPr="008261B1" w:rsidRDefault="009A29FC" w:rsidP="00591FE3">
      <w:pPr>
        <w:pStyle w:val="Agency-body-text"/>
        <w:numPr>
          <w:ilvl w:val="0"/>
          <w:numId w:val="43"/>
        </w:numPr>
        <w:rPr>
          <w:rFonts w:asciiTheme="majorHAnsi" w:hAnsiTheme="majorHAnsi" w:cstheme="majorHAnsi"/>
        </w:rPr>
      </w:pPr>
      <w:r w:rsidRPr="008261B1">
        <w:rPr>
          <w:rFonts w:asciiTheme="majorHAnsi" w:hAnsiTheme="majorHAnsi" w:cstheme="majorHAnsi"/>
          <w:lang w:bidi="it-IT"/>
        </w:rPr>
        <w:t>decidere se utilizzare l’intero strumento o parti di esso (ad es. concentrandosi su domande e/o principi guida specifici), in base alle priorità nazionali;</w:t>
      </w:r>
    </w:p>
    <w:p w14:paraId="2F60CAA9" w14:textId="2AAB4779" w:rsidR="00776FBF" w:rsidRPr="008261B1" w:rsidRDefault="004D13AB" w:rsidP="00591FE3">
      <w:pPr>
        <w:pStyle w:val="Agency-body-text"/>
        <w:numPr>
          <w:ilvl w:val="0"/>
          <w:numId w:val="43"/>
        </w:numPr>
        <w:rPr>
          <w:rFonts w:asciiTheme="majorHAnsi" w:hAnsiTheme="majorHAnsi" w:cstheme="majorHAnsi"/>
        </w:rPr>
      </w:pPr>
      <w:r w:rsidRPr="008261B1">
        <w:rPr>
          <w:rFonts w:asciiTheme="majorHAnsi" w:hAnsiTheme="majorHAnsi" w:cstheme="majorHAnsi"/>
          <w:lang w:bidi="it-IT"/>
        </w:rPr>
        <w:t>fornire un feedback specifico sulle voci dello strumento (ad es. rivedere e adattare al contesto nazionale il linguaggio e i concetti, riformulare, aggiungere/eliminare domande, ecc.);</w:t>
      </w:r>
    </w:p>
    <w:p w14:paraId="21B64526" w14:textId="7724C391" w:rsidR="00C16418" w:rsidRPr="008261B1" w:rsidRDefault="00B815C3" w:rsidP="00591FE3">
      <w:pPr>
        <w:pStyle w:val="Agency-body-text"/>
        <w:numPr>
          <w:ilvl w:val="0"/>
          <w:numId w:val="41"/>
        </w:numPr>
        <w:rPr>
          <w:rFonts w:asciiTheme="majorHAnsi" w:hAnsiTheme="majorHAnsi" w:cstheme="majorHAnsi"/>
        </w:rPr>
      </w:pPr>
      <w:r w:rsidRPr="008261B1">
        <w:rPr>
          <w:rFonts w:asciiTheme="majorHAnsi" w:hAnsiTheme="majorHAnsi" w:cstheme="majorHAnsi"/>
          <w:lang w:bidi="it-IT"/>
        </w:rPr>
        <w:t>definire le modalità di utilizzo dello strumento di autovalutazione nel paese.</w:t>
      </w:r>
      <w:r w:rsidR="00C16418" w:rsidRPr="008261B1">
        <w:rPr>
          <w:rFonts w:asciiTheme="majorHAnsi" w:hAnsiTheme="majorHAnsi" w:cstheme="majorHAnsi"/>
          <w:lang w:bidi="it-IT"/>
        </w:rPr>
        <w:br w:type="page"/>
      </w:r>
    </w:p>
    <w:p w14:paraId="60227608" w14:textId="5F8C5170" w:rsidR="00C16418" w:rsidRPr="008261B1" w:rsidRDefault="00C16418" w:rsidP="00907466">
      <w:pPr>
        <w:pStyle w:val="Agency-heading-1"/>
        <w:rPr>
          <w:rFonts w:asciiTheme="majorHAnsi" w:hAnsiTheme="majorHAnsi" w:cstheme="majorHAnsi"/>
        </w:rPr>
      </w:pPr>
      <w:bookmarkStart w:id="22" w:name="_Toc127367780"/>
      <w:r w:rsidRPr="008261B1">
        <w:rPr>
          <w:rFonts w:asciiTheme="majorHAnsi" w:hAnsiTheme="majorHAnsi" w:cstheme="majorHAnsi"/>
          <w:lang w:bidi="it-IT"/>
        </w:rPr>
        <w:lastRenderedPageBreak/>
        <w:t>Fonti</w:t>
      </w:r>
      <w:bookmarkEnd w:id="22"/>
    </w:p>
    <w:p w14:paraId="1E344F85" w14:textId="77777777" w:rsidR="008261B1" w:rsidRPr="008261B1" w:rsidRDefault="008261B1" w:rsidP="00591FE3">
      <w:pPr>
        <w:pStyle w:val="Agency-body-text"/>
        <w:rPr>
          <w:rFonts w:asciiTheme="majorHAnsi" w:hAnsiTheme="majorHAnsi" w:cstheme="majorHAnsi"/>
        </w:rPr>
      </w:pPr>
      <w:r w:rsidRPr="008261B1">
        <w:rPr>
          <w:rFonts w:asciiTheme="majorHAnsi" w:hAnsiTheme="majorHAnsi" w:cstheme="majorHAnsi"/>
          <w:lang w:bidi="it-IT"/>
        </w:rPr>
        <w:t xml:space="preserve">Agenzia Europea per i Bisogni Educativi Speciali e l’Educazione Inclusiva, 2015. </w:t>
      </w:r>
      <w:r w:rsidRPr="008261B1">
        <w:rPr>
          <w:rFonts w:asciiTheme="majorHAnsi" w:hAnsiTheme="majorHAnsi" w:cstheme="majorHAnsi"/>
          <w:i/>
          <w:lang w:bidi="it-IT"/>
        </w:rPr>
        <w:t>Raising the Achievement of All Learners in Inclusive Education. Project Conceptual Framework and Terminology [Aumentare il successo di tutti gli studenti nell’educazione inclusiva. Quadro concettuale e terminologia del progetto]</w:t>
      </w:r>
      <w:r w:rsidRPr="007E1548">
        <w:rPr>
          <w:rFonts w:asciiTheme="majorHAnsi" w:hAnsiTheme="majorHAnsi" w:cstheme="majorHAnsi"/>
          <w:lang w:bidi="it-IT"/>
        </w:rPr>
        <w:t>.</w:t>
      </w:r>
      <w:r w:rsidRPr="008261B1">
        <w:rPr>
          <w:rFonts w:asciiTheme="majorHAnsi" w:hAnsiTheme="majorHAnsi" w:cstheme="majorHAnsi"/>
          <w:lang w:bidi="it-IT"/>
        </w:rPr>
        <w:t xml:space="preserve"> (V. Donnelly, P. Skoglund e H. Weber, a cura di). Odense, Danimarca. </w:t>
      </w:r>
      <w:hyperlink r:id="rId41" w:history="1">
        <w:r w:rsidRPr="008261B1">
          <w:rPr>
            <w:rStyle w:val="Hyperlink"/>
            <w:rFonts w:asciiTheme="majorHAnsi" w:hAnsiTheme="majorHAnsi" w:cstheme="majorHAnsi"/>
            <w:lang w:bidi="it-IT"/>
          </w:rPr>
          <w:t xml:space="preserve">www.european-agency.org/sites/default/files/Raising Achievement </w:t>
        </w:r>
        <w:proofErr w:type="spellStart"/>
        <w:r w:rsidRPr="008261B1">
          <w:rPr>
            <w:rStyle w:val="Hyperlink"/>
            <w:rFonts w:asciiTheme="majorHAnsi" w:hAnsiTheme="majorHAnsi" w:cstheme="majorHAnsi"/>
            <w:lang w:bidi="it-IT"/>
          </w:rPr>
          <w:t>Conceptual</w:t>
        </w:r>
        <w:proofErr w:type="spellEnd"/>
        <w:r w:rsidRPr="008261B1">
          <w:rPr>
            <w:rStyle w:val="Hyperlink"/>
            <w:rFonts w:asciiTheme="majorHAnsi" w:hAnsiTheme="majorHAnsi" w:cstheme="majorHAnsi"/>
            <w:lang w:bidi="it-IT"/>
          </w:rPr>
          <w:t xml:space="preserve"> Framework.pdf</w:t>
        </w:r>
      </w:hyperlink>
      <w:r w:rsidRPr="008261B1">
        <w:rPr>
          <w:rFonts w:asciiTheme="majorHAnsi" w:hAnsiTheme="majorHAnsi" w:cstheme="majorHAnsi"/>
          <w:lang w:bidi="it-IT"/>
        </w:rPr>
        <w:t xml:space="preserve"> (ultimo accesso settembre 2022)</w:t>
      </w:r>
    </w:p>
    <w:p w14:paraId="57DB7011" w14:textId="77777777" w:rsidR="008261B1" w:rsidRPr="008261B1" w:rsidRDefault="008261B1" w:rsidP="00591FE3">
      <w:pPr>
        <w:pStyle w:val="Agency-body-text"/>
        <w:rPr>
          <w:rFonts w:asciiTheme="majorHAnsi" w:hAnsiTheme="majorHAnsi" w:cstheme="majorHAnsi"/>
        </w:rPr>
      </w:pPr>
      <w:r w:rsidRPr="008261B1">
        <w:rPr>
          <w:rFonts w:asciiTheme="majorHAnsi" w:hAnsiTheme="majorHAnsi" w:cstheme="majorHAnsi"/>
          <w:lang w:bidi="it-IT"/>
        </w:rPr>
        <w:t xml:space="preserve">Agenzia Europea per i Bisogni Educativi Speciali e l’Educazione Inclusiva, 2018. </w:t>
      </w:r>
      <w:r w:rsidRPr="008261B1">
        <w:rPr>
          <w:rFonts w:asciiTheme="majorHAnsi" w:hAnsiTheme="majorHAnsi" w:cstheme="majorHAnsi"/>
          <w:i/>
          <w:lang w:bidi="it-IT"/>
        </w:rPr>
        <w:t>Analysis Framework for Mapping Inclusive Education Policies [Quadro do analisi per la mappatura delle politiche scolastiche inclusive]</w:t>
      </w:r>
      <w:r w:rsidRPr="008261B1">
        <w:rPr>
          <w:rFonts w:asciiTheme="majorHAnsi" w:hAnsiTheme="majorHAnsi" w:cstheme="majorHAnsi"/>
          <w:lang w:bidi="it-IT"/>
        </w:rPr>
        <w:t xml:space="preserve">. (V. Soriano, A. Watkins, M. Kyriazopoulou, V. Donnelly, A. Kefallinou, S. Ebersold e G. Squires, a cura di). Odense, Danimarca. </w:t>
      </w:r>
      <w:hyperlink r:id="rId42" w:history="1">
        <w:r w:rsidRPr="008261B1">
          <w:rPr>
            <w:rStyle w:val="Hyperlink"/>
            <w:rFonts w:asciiTheme="majorHAnsi" w:hAnsiTheme="majorHAnsi" w:cstheme="majorHAnsi"/>
            <w:lang w:bidi="it-IT"/>
          </w:rPr>
          <w:t>www.european-agency.org/resources/publications/analysis-framework-mapping-inclusive-education-policies</w:t>
        </w:r>
      </w:hyperlink>
      <w:r w:rsidRPr="008261B1">
        <w:rPr>
          <w:rFonts w:asciiTheme="majorHAnsi" w:hAnsiTheme="majorHAnsi" w:cstheme="majorHAnsi"/>
          <w:lang w:bidi="it-IT"/>
        </w:rPr>
        <w:t xml:space="preserve"> (ultimo accesso settembre 2022)</w:t>
      </w:r>
    </w:p>
    <w:p w14:paraId="18671259" w14:textId="77777777" w:rsidR="008261B1" w:rsidRPr="008261B1" w:rsidRDefault="008261B1" w:rsidP="00591FE3">
      <w:pPr>
        <w:pStyle w:val="Agency-body-text"/>
        <w:rPr>
          <w:rFonts w:asciiTheme="majorHAnsi" w:hAnsiTheme="majorHAnsi" w:cstheme="majorHAnsi"/>
        </w:rPr>
      </w:pPr>
      <w:r w:rsidRPr="008261B1">
        <w:rPr>
          <w:rFonts w:asciiTheme="majorHAnsi" w:hAnsiTheme="majorHAnsi" w:cstheme="majorHAnsi"/>
          <w:lang w:bidi="it-IT"/>
        </w:rPr>
        <w:t xml:space="preserve">Agenzia Europea per i Bisogni Educativi Speciali e l’Educazione Inclusiva, 2021. </w:t>
      </w:r>
      <w:r w:rsidRPr="008261B1">
        <w:rPr>
          <w:rFonts w:asciiTheme="majorHAnsi" w:hAnsiTheme="majorHAnsi" w:cstheme="majorHAnsi"/>
          <w:i/>
          <w:lang w:bidi="it-IT"/>
        </w:rPr>
        <w:t>Principi guida – Sostegno allo sviluppo e all’attuazione delle politiche per l’educazione inclusiva.</w:t>
      </w:r>
      <w:r w:rsidRPr="008261B1">
        <w:rPr>
          <w:rFonts w:asciiTheme="majorHAnsi" w:hAnsiTheme="majorHAnsi" w:cstheme="majorHAnsi"/>
          <w:lang w:bidi="it-IT"/>
        </w:rPr>
        <w:t xml:space="preserve"> (V. J. Donnelly e A. Watkins, a cura di). Odense, Danimarca. </w:t>
      </w:r>
      <w:r w:rsidRPr="008261B1">
        <w:rPr>
          <w:rFonts w:asciiTheme="majorHAnsi" w:hAnsiTheme="majorHAnsi" w:cstheme="majorHAnsi"/>
          <w:lang w:bidi="it-IT"/>
        </w:rPr>
        <w:br/>
      </w:r>
      <w:hyperlink r:id="rId43" w:history="1">
        <w:r w:rsidRPr="008261B1">
          <w:rPr>
            <w:rStyle w:val="Hyperlink"/>
            <w:rFonts w:asciiTheme="majorHAnsi" w:hAnsiTheme="majorHAnsi" w:cstheme="majorHAnsi"/>
            <w:lang w:bidi="it-IT"/>
          </w:rPr>
          <w:t>www.european-agency.org/resources/publications/key-principles-supporting-policy-development-implementation</w:t>
        </w:r>
      </w:hyperlink>
      <w:r w:rsidRPr="008261B1">
        <w:rPr>
          <w:rFonts w:asciiTheme="majorHAnsi" w:hAnsiTheme="majorHAnsi" w:cstheme="majorHAnsi"/>
          <w:lang w:bidi="it-IT"/>
        </w:rPr>
        <w:t xml:space="preserve"> (ultimo accesso settembre 2022)</w:t>
      </w:r>
    </w:p>
    <w:p w14:paraId="45378F76" w14:textId="77777777" w:rsidR="008261B1" w:rsidRPr="008261B1" w:rsidRDefault="008261B1" w:rsidP="00591FE3">
      <w:pPr>
        <w:pStyle w:val="Agency-body-text"/>
        <w:rPr>
          <w:rFonts w:asciiTheme="majorHAnsi" w:hAnsiTheme="majorHAnsi" w:cstheme="majorHAnsi"/>
        </w:rPr>
      </w:pPr>
      <w:r w:rsidRPr="008261B1">
        <w:rPr>
          <w:rFonts w:asciiTheme="majorHAnsi" w:hAnsiTheme="majorHAnsi" w:cstheme="majorHAnsi"/>
          <w:lang w:bidi="it-IT"/>
        </w:rPr>
        <w:t xml:space="preserve">Agenzia Europea per i Bisogni Educativi Speciali e l’Educazione Inclusiva, 2022. </w:t>
      </w:r>
      <w:r w:rsidRPr="008261B1">
        <w:rPr>
          <w:rFonts w:asciiTheme="majorHAnsi" w:hAnsiTheme="majorHAnsi" w:cstheme="majorHAnsi"/>
          <w:i/>
          <w:lang w:bidi="it-IT"/>
        </w:rPr>
        <w:t>Changing Role of Specialist Provision in Supporting Inclusive Education: Final Synthesis Report [L’evoluzione del ruolo delle prestazioni a supporto dell’educazione inclusiva: Sintesi finale]</w:t>
      </w:r>
      <w:r w:rsidRPr="007E1548">
        <w:rPr>
          <w:rFonts w:asciiTheme="majorHAnsi" w:hAnsiTheme="majorHAnsi" w:cstheme="majorHAnsi"/>
          <w:lang w:bidi="it-IT"/>
        </w:rPr>
        <w:t xml:space="preserve">. </w:t>
      </w:r>
      <w:r w:rsidRPr="008261B1">
        <w:rPr>
          <w:rFonts w:asciiTheme="majorHAnsi" w:hAnsiTheme="majorHAnsi" w:cstheme="majorHAnsi"/>
          <w:lang w:bidi="it-IT"/>
        </w:rPr>
        <w:t>(A. Kefallinou, M. Kyriazopoulou, S. Ebersold, P. Skoglund, E. Rebollo Píriz e M. Lučić Wichmann, a cura di). Odense, Danimarca</w:t>
      </w:r>
    </w:p>
    <w:p w14:paraId="7F87855E" w14:textId="5A1188B7" w:rsidR="008261B1" w:rsidRPr="008261B1" w:rsidRDefault="008261B1" w:rsidP="00591FE3">
      <w:pPr>
        <w:pStyle w:val="Agency-body-text"/>
        <w:rPr>
          <w:rFonts w:asciiTheme="majorHAnsi" w:hAnsiTheme="majorHAnsi" w:cstheme="majorHAnsi"/>
        </w:rPr>
      </w:pPr>
      <w:r w:rsidRPr="008261B1">
        <w:rPr>
          <w:rFonts w:asciiTheme="majorHAnsi" w:hAnsiTheme="majorHAnsi" w:cstheme="majorHAnsi"/>
          <w:lang w:bidi="it-IT"/>
        </w:rPr>
        <w:t xml:space="preserve">Agenzia Europea per i Bisogni Educativi Speciali e l’Educazione Inclusiva, nessuna data. </w:t>
      </w:r>
      <w:r w:rsidRPr="008261B1">
        <w:rPr>
          <w:rFonts w:asciiTheme="majorHAnsi" w:hAnsiTheme="majorHAnsi" w:cstheme="majorHAnsi"/>
          <w:i/>
          <w:lang w:bidi="it-IT"/>
        </w:rPr>
        <w:t>Increasing Inclusive Capability [Aumentare la capacità inclusiva]</w:t>
      </w:r>
      <w:r w:rsidRPr="007E1548">
        <w:rPr>
          <w:rFonts w:asciiTheme="majorHAnsi" w:hAnsiTheme="majorHAnsi" w:cstheme="majorHAnsi"/>
          <w:lang w:bidi="it-IT"/>
        </w:rPr>
        <w:t xml:space="preserve">. </w:t>
      </w:r>
      <w:r w:rsidR="00E91DEF">
        <w:rPr>
          <w:rFonts w:asciiTheme="majorHAnsi" w:hAnsiTheme="majorHAnsi" w:cstheme="majorHAnsi"/>
          <w:lang w:bidi="it-IT"/>
        </w:rPr>
        <w:br/>
      </w:r>
      <w:hyperlink r:id="rId44" w:history="1">
        <w:r w:rsidR="00C605BA" w:rsidRPr="00C605BA">
          <w:rPr>
            <w:rStyle w:val="Hyperlink"/>
            <w:rFonts w:asciiTheme="majorHAnsi" w:hAnsiTheme="majorHAnsi" w:cstheme="majorHAnsi"/>
            <w:lang w:bidi="it-IT"/>
          </w:rPr>
          <w:t>www.european-agency.org/projects/organisation-provision-support-inclusive-education/increasing-inclusive-capability/what-restricts-participation-and-learning-all-children-and-young-people-and-what-action-can-be</w:t>
        </w:r>
      </w:hyperlink>
      <w:r w:rsidRPr="008261B1">
        <w:rPr>
          <w:rFonts w:asciiTheme="majorHAnsi" w:hAnsiTheme="majorHAnsi" w:cstheme="majorHAnsi"/>
          <w:lang w:bidi="it-IT"/>
        </w:rPr>
        <w:t xml:space="preserve"> (ultimo accesso settembre 2022)</w:t>
      </w:r>
    </w:p>
    <w:p w14:paraId="0D146FBF" w14:textId="77777777" w:rsidR="008261B1" w:rsidRPr="008261B1" w:rsidRDefault="008261B1" w:rsidP="00591FE3">
      <w:pPr>
        <w:pStyle w:val="Agency-body-text"/>
        <w:rPr>
          <w:rFonts w:asciiTheme="majorHAnsi" w:hAnsiTheme="majorHAnsi" w:cstheme="majorHAnsi"/>
        </w:rPr>
      </w:pPr>
      <w:r w:rsidRPr="008261B1">
        <w:rPr>
          <w:rFonts w:asciiTheme="majorHAnsi" w:hAnsiTheme="majorHAnsi" w:cstheme="majorHAnsi"/>
          <w:lang w:val="en-US" w:bidi="it-IT"/>
        </w:rPr>
        <w:t xml:space="preserve">Centre for Applied Special Technology, nessuna data. </w:t>
      </w:r>
      <w:r w:rsidRPr="008261B1">
        <w:rPr>
          <w:rFonts w:asciiTheme="majorHAnsi" w:hAnsiTheme="majorHAnsi" w:cstheme="majorHAnsi"/>
          <w:i/>
          <w:lang w:bidi="it-IT"/>
        </w:rPr>
        <w:t>About Universal Design for Learning [Informazioni sulla Progettazione Universale per l'Apprendimento]</w:t>
      </w:r>
      <w:r w:rsidRPr="007E1548">
        <w:rPr>
          <w:rFonts w:asciiTheme="majorHAnsi" w:hAnsiTheme="majorHAnsi" w:cstheme="majorHAnsi"/>
          <w:lang w:bidi="it-IT"/>
        </w:rPr>
        <w:t xml:space="preserve">. </w:t>
      </w:r>
      <w:hyperlink r:id="rId45" w:history="1">
        <w:r w:rsidRPr="008261B1">
          <w:rPr>
            <w:rStyle w:val="Hyperlink"/>
            <w:rFonts w:asciiTheme="majorHAnsi" w:hAnsiTheme="majorHAnsi" w:cstheme="majorHAnsi"/>
            <w:lang w:bidi="it-IT"/>
          </w:rPr>
          <w:t>www.cast.org/impact/universal-design-for-learning-udl</w:t>
        </w:r>
      </w:hyperlink>
      <w:r w:rsidRPr="008261B1">
        <w:rPr>
          <w:rFonts w:asciiTheme="majorHAnsi" w:hAnsiTheme="majorHAnsi" w:cstheme="majorHAnsi"/>
          <w:lang w:bidi="it-IT"/>
        </w:rPr>
        <w:t xml:space="preserve"> (ultimo accesso settembre 2022)</w:t>
      </w:r>
    </w:p>
    <w:p w14:paraId="640FAAF5" w14:textId="69C2B35D" w:rsidR="008261B1" w:rsidRPr="008261B1" w:rsidRDefault="008261B1" w:rsidP="00591FE3">
      <w:pPr>
        <w:pStyle w:val="Agency-body-text"/>
        <w:rPr>
          <w:rFonts w:asciiTheme="majorHAnsi" w:hAnsiTheme="majorHAnsi" w:cstheme="majorHAnsi"/>
        </w:rPr>
      </w:pPr>
      <w:r w:rsidRPr="008261B1">
        <w:rPr>
          <w:rFonts w:asciiTheme="majorHAnsi" w:hAnsiTheme="majorHAnsi" w:cstheme="majorHAnsi"/>
          <w:lang w:val="en-US" w:bidi="it-IT"/>
        </w:rPr>
        <w:t xml:space="preserve">Great Schools Partnership, 2014. ‘Professional learning community’ </w:t>
      </w:r>
      <w:r w:rsidR="007A69E7" w:rsidRPr="008261B1">
        <w:rPr>
          <w:rFonts w:asciiTheme="majorHAnsi" w:hAnsiTheme="majorHAnsi" w:cstheme="majorHAnsi"/>
          <w:lang w:val="en-US" w:bidi="it-IT"/>
        </w:rPr>
        <w:t>[</w:t>
      </w:r>
      <w:r w:rsidR="007A69E7">
        <w:rPr>
          <w:rFonts w:asciiTheme="majorHAnsi" w:hAnsiTheme="majorHAnsi" w:cstheme="majorHAnsi"/>
          <w:lang w:val="en-US" w:bidi="it-IT"/>
        </w:rPr>
        <w:t>“</w:t>
      </w:r>
      <w:r w:rsidRPr="00B870E1">
        <w:rPr>
          <w:rFonts w:asciiTheme="majorHAnsi" w:hAnsiTheme="majorHAnsi" w:cstheme="majorHAnsi"/>
          <w:lang w:bidi="it-IT"/>
        </w:rPr>
        <w:t>Comunità di apprendimento professionale</w:t>
      </w:r>
      <w:r w:rsidRPr="008261B1">
        <w:rPr>
          <w:rFonts w:asciiTheme="majorHAnsi" w:hAnsiTheme="majorHAnsi" w:cstheme="majorHAnsi"/>
          <w:lang w:val="en-US" w:bidi="it-IT"/>
        </w:rPr>
        <w:t xml:space="preserve">”], </w:t>
      </w:r>
      <w:r w:rsidRPr="008261B1">
        <w:rPr>
          <w:rFonts w:asciiTheme="majorHAnsi" w:hAnsiTheme="majorHAnsi" w:cstheme="majorHAnsi"/>
          <w:i/>
          <w:lang w:val="en-US" w:bidi="it-IT"/>
        </w:rPr>
        <w:t xml:space="preserve">Glossary of Education Reform. </w:t>
      </w:r>
      <w:hyperlink r:id="rId46" w:history="1">
        <w:r w:rsidRPr="008261B1">
          <w:rPr>
            <w:rStyle w:val="Hyperlink"/>
            <w:rFonts w:asciiTheme="majorHAnsi" w:hAnsiTheme="majorHAnsi" w:cstheme="majorHAnsi"/>
            <w:lang w:bidi="it-IT"/>
          </w:rPr>
          <w:t>www.edglossary.org/professional-learning-community</w:t>
        </w:r>
      </w:hyperlink>
      <w:r w:rsidRPr="008261B1">
        <w:rPr>
          <w:rFonts w:asciiTheme="majorHAnsi" w:hAnsiTheme="majorHAnsi" w:cstheme="majorHAnsi"/>
          <w:lang w:bidi="it-IT"/>
        </w:rPr>
        <w:t xml:space="preserve"> (ultimo accesso settembre 2022)</w:t>
      </w:r>
    </w:p>
    <w:p w14:paraId="481E582A" w14:textId="77777777" w:rsidR="008261B1" w:rsidRPr="008261B1" w:rsidRDefault="008261B1" w:rsidP="00591FE3">
      <w:pPr>
        <w:pStyle w:val="Agency-body-text"/>
        <w:rPr>
          <w:rFonts w:asciiTheme="majorHAnsi" w:hAnsiTheme="majorHAnsi" w:cstheme="majorHAnsi"/>
        </w:rPr>
      </w:pPr>
      <w:r w:rsidRPr="008261B1">
        <w:rPr>
          <w:rFonts w:asciiTheme="majorHAnsi" w:hAnsiTheme="majorHAnsi" w:cstheme="majorHAnsi"/>
          <w:lang w:bidi="it-IT"/>
        </w:rPr>
        <w:t xml:space="preserve">Oxford Learner’s Dictionaries. </w:t>
      </w:r>
      <w:hyperlink r:id="rId47" w:history="1">
        <w:r w:rsidRPr="008261B1">
          <w:rPr>
            <w:rStyle w:val="Hyperlink"/>
            <w:rFonts w:asciiTheme="majorHAnsi" w:hAnsiTheme="majorHAnsi" w:cstheme="majorHAnsi"/>
            <w:lang w:bidi="it-IT"/>
          </w:rPr>
          <w:t>www.oxfordlearnersdictionaries.com</w:t>
        </w:r>
      </w:hyperlink>
      <w:r w:rsidRPr="008261B1">
        <w:rPr>
          <w:rFonts w:asciiTheme="majorHAnsi" w:hAnsiTheme="majorHAnsi" w:cstheme="majorHAnsi"/>
          <w:lang w:bidi="it-IT"/>
        </w:rPr>
        <w:t xml:space="preserve"> (ultimo accesso settembre 2022)</w:t>
      </w:r>
    </w:p>
    <w:p w14:paraId="4F2910F5" w14:textId="25F16744" w:rsidR="008261B1" w:rsidRPr="008261B1" w:rsidRDefault="008261B1" w:rsidP="00591FE3">
      <w:pPr>
        <w:pStyle w:val="Agency-body-text"/>
        <w:rPr>
          <w:rFonts w:asciiTheme="majorHAnsi" w:hAnsiTheme="majorHAnsi" w:cstheme="majorHAnsi"/>
        </w:rPr>
      </w:pPr>
      <w:r w:rsidRPr="008261B1">
        <w:rPr>
          <w:rFonts w:asciiTheme="majorHAnsi" w:hAnsiTheme="majorHAnsi" w:cstheme="majorHAnsi"/>
          <w:lang w:bidi="it-IT"/>
        </w:rPr>
        <w:t xml:space="preserve">UNESCO, 2020. </w:t>
      </w:r>
      <w:r w:rsidRPr="008261B1">
        <w:rPr>
          <w:rFonts w:asciiTheme="majorHAnsi" w:hAnsiTheme="majorHAnsi" w:cstheme="majorHAnsi"/>
          <w:i/>
          <w:lang w:bidi="it-IT"/>
        </w:rPr>
        <w:t>Global Education Monitoring Report 2020: Inclusion and education: All means all [Rapporto Mondiale di Monitoraggio dell’Educazione 2020. Inclusione ed educazione: tutti significa tutti]</w:t>
      </w:r>
      <w:r w:rsidRPr="007E1548">
        <w:rPr>
          <w:rFonts w:asciiTheme="majorHAnsi" w:hAnsiTheme="majorHAnsi" w:cstheme="majorHAnsi"/>
          <w:lang w:bidi="it-IT"/>
        </w:rPr>
        <w:t xml:space="preserve">. </w:t>
      </w:r>
      <w:r w:rsidRPr="008261B1">
        <w:rPr>
          <w:rFonts w:asciiTheme="majorHAnsi" w:hAnsiTheme="majorHAnsi" w:cstheme="majorHAnsi"/>
          <w:lang w:bidi="it-IT"/>
        </w:rPr>
        <w:t xml:space="preserve">Parigi: UNESCO. </w:t>
      </w:r>
      <w:r w:rsidR="00831A03">
        <w:rPr>
          <w:rFonts w:asciiTheme="majorHAnsi" w:hAnsiTheme="majorHAnsi" w:cstheme="majorHAnsi"/>
          <w:lang w:bidi="it-IT"/>
        </w:rPr>
        <w:br/>
      </w:r>
      <w:hyperlink r:id="rId48" w:history="1">
        <w:r w:rsidRPr="008261B1">
          <w:rPr>
            <w:rStyle w:val="Hyperlink"/>
            <w:rFonts w:asciiTheme="majorHAnsi" w:hAnsiTheme="majorHAnsi" w:cstheme="majorHAnsi"/>
            <w:lang w:bidi="it-IT"/>
          </w:rPr>
          <w:t>en.unesco.org/</w:t>
        </w:r>
        <w:proofErr w:type="spellStart"/>
        <w:r w:rsidRPr="008261B1">
          <w:rPr>
            <w:rStyle w:val="Hyperlink"/>
            <w:rFonts w:asciiTheme="majorHAnsi" w:hAnsiTheme="majorHAnsi" w:cstheme="majorHAnsi"/>
            <w:lang w:bidi="it-IT"/>
          </w:rPr>
          <w:t>gem</w:t>
        </w:r>
        <w:proofErr w:type="spellEnd"/>
        <w:r w:rsidRPr="008261B1">
          <w:rPr>
            <w:rStyle w:val="Hyperlink"/>
            <w:rFonts w:asciiTheme="majorHAnsi" w:hAnsiTheme="majorHAnsi" w:cstheme="majorHAnsi"/>
            <w:lang w:bidi="it-IT"/>
          </w:rPr>
          <w:t>-report/report/2020/</w:t>
        </w:r>
        <w:proofErr w:type="spellStart"/>
        <w:r w:rsidRPr="008261B1">
          <w:rPr>
            <w:rStyle w:val="Hyperlink"/>
            <w:rFonts w:asciiTheme="majorHAnsi" w:hAnsiTheme="majorHAnsi" w:cstheme="majorHAnsi"/>
            <w:lang w:bidi="it-IT"/>
          </w:rPr>
          <w:t>inclusion</w:t>
        </w:r>
        <w:proofErr w:type="spellEnd"/>
      </w:hyperlink>
      <w:r w:rsidRPr="008261B1">
        <w:rPr>
          <w:rFonts w:asciiTheme="majorHAnsi" w:hAnsiTheme="majorHAnsi" w:cstheme="majorHAnsi"/>
          <w:lang w:bidi="it-IT"/>
        </w:rPr>
        <w:t xml:space="preserve"> (ultimo accesso settembre 2022)</w:t>
      </w:r>
    </w:p>
    <w:sectPr w:rsidR="008261B1" w:rsidRPr="008261B1" w:rsidSect="00776FBF">
      <w:headerReference w:type="even" r:id="rId49"/>
      <w:headerReference w:type="default" r:id="rId5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4A803" w14:textId="77777777" w:rsidR="002A13AF" w:rsidRDefault="002A13AF">
      <w:r>
        <w:separator/>
      </w:r>
    </w:p>
  </w:endnote>
  <w:endnote w:type="continuationSeparator" w:id="0">
    <w:p w14:paraId="06ED4373" w14:textId="77777777" w:rsidR="002A13AF" w:rsidRDefault="002A1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4B314325" w:rsidR="009E6E4D" w:rsidRPr="008261B1" w:rsidRDefault="009E6E4D" w:rsidP="005D5C15">
    <w:pPr>
      <w:framePr w:wrap="around" w:vAnchor="text" w:hAnchor="margin" w:xAlign="outside" w:y="1"/>
      <w:jc w:val="right"/>
      <w:rPr>
        <w:rFonts w:asciiTheme="majorHAnsi" w:hAnsiTheme="majorHAnsi" w:cstheme="majorHAnsi"/>
        <w:szCs w:val="24"/>
      </w:rPr>
    </w:pPr>
    <w:r w:rsidRPr="008261B1">
      <w:rPr>
        <w:rFonts w:asciiTheme="majorHAnsi" w:hAnsiTheme="majorHAnsi" w:cstheme="majorHAnsi"/>
        <w:lang w:bidi="it-IT"/>
      </w:rPr>
      <w:fldChar w:fldCharType="begin"/>
    </w:r>
    <w:r w:rsidRPr="008261B1">
      <w:rPr>
        <w:rFonts w:asciiTheme="majorHAnsi" w:hAnsiTheme="majorHAnsi" w:cstheme="majorHAnsi"/>
        <w:lang w:bidi="it-IT"/>
      </w:rPr>
      <w:instrText xml:space="preserve">PAGE  </w:instrText>
    </w:r>
    <w:r w:rsidRPr="008261B1">
      <w:rPr>
        <w:rFonts w:asciiTheme="majorHAnsi" w:hAnsiTheme="majorHAnsi" w:cstheme="majorHAnsi"/>
        <w:lang w:bidi="it-IT"/>
      </w:rPr>
      <w:fldChar w:fldCharType="separate"/>
    </w:r>
    <w:r w:rsidR="007E1548">
      <w:rPr>
        <w:rFonts w:asciiTheme="majorHAnsi" w:hAnsiTheme="majorHAnsi" w:cstheme="majorHAnsi"/>
        <w:noProof/>
        <w:lang w:bidi="it-IT"/>
      </w:rPr>
      <w:t>28</w:t>
    </w:r>
    <w:r w:rsidRPr="008261B1">
      <w:rPr>
        <w:rFonts w:asciiTheme="majorHAnsi" w:hAnsiTheme="majorHAnsi" w:cstheme="majorHAnsi"/>
        <w:lang w:bidi="it-IT"/>
      </w:rPr>
      <w:fldChar w:fldCharType="end"/>
    </w:r>
  </w:p>
  <w:p w14:paraId="42B1793F" w14:textId="1D15D3F6" w:rsidR="009E6E4D" w:rsidRPr="008261B1" w:rsidRDefault="00DD7FBB" w:rsidP="00310724">
    <w:pPr>
      <w:pStyle w:val="Agency-footer"/>
      <w:jc w:val="right"/>
      <w:rPr>
        <w:rFonts w:asciiTheme="majorHAnsi" w:hAnsiTheme="majorHAnsi" w:cstheme="majorHAnsi"/>
      </w:rPr>
    </w:pPr>
    <w:r w:rsidRPr="008261B1">
      <w:rPr>
        <w:rFonts w:asciiTheme="majorHAnsi" w:hAnsiTheme="majorHAnsi" w:cstheme="majorHAnsi"/>
        <w:lang w:bidi="it-IT"/>
      </w:rPr>
      <w:t>L’evoluzione del ruolo delle prestazioni a supporto dell’educazione inclusiva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2BB14A81" w:rsidR="009E6E4D" w:rsidRPr="008261B1" w:rsidRDefault="009E6E4D" w:rsidP="004A2584">
    <w:pPr>
      <w:framePr w:wrap="around" w:vAnchor="text" w:hAnchor="margin" w:xAlign="outside" w:y="1"/>
      <w:jc w:val="right"/>
      <w:rPr>
        <w:rFonts w:asciiTheme="majorHAnsi" w:hAnsiTheme="majorHAnsi" w:cstheme="majorHAnsi"/>
      </w:rPr>
    </w:pPr>
    <w:r w:rsidRPr="008261B1">
      <w:rPr>
        <w:rFonts w:asciiTheme="majorHAnsi" w:hAnsiTheme="majorHAnsi" w:cstheme="majorHAnsi"/>
        <w:lang w:bidi="it-IT"/>
      </w:rPr>
      <w:fldChar w:fldCharType="begin"/>
    </w:r>
    <w:r w:rsidRPr="008261B1">
      <w:rPr>
        <w:rFonts w:asciiTheme="majorHAnsi" w:hAnsiTheme="majorHAnsi" w:cstheme="majorHAnsi"/>
        <w:lang w:bidi="it-IT"/>
      </w:rPr>
      <w:instrText xml:space="preserve">PAGE  </w:instrText>
    </w:r>
    <w:r w:rsidRPr="008261B1">
      <w:rPr>
        <w:rFonts w:asciiTheme="majorHAnsi" w:hAnsiTheme="majorHAnsi" w:cstheme="majorHAnsi"/>
        <w:lang w:bidi="it-IT"/>
      </w:rPr>
      <w:fldChar w:fldCharType="separate"/>
    </w:r>
    <w:r w:rsidR="007E1548">
      <w:rPr>
        <w:rFonts w:asciiTheme="majorHAnsi" w:hAnsiTheme="majorHAnsi" w:cstheme="majorHAnsi"/>
        <w:noProof/>
        <w:lang w:bidi="it-IT"/>
      </w:rPr>
      <w:t>7</w:t>
    </w:r>
    <w:r w:rsidRPr="008261B1">
      <w:rPr>
        <w:rFonts w:asciiTheme="majorHAnsi" w:hAnsiTheme="majorHAnsi" w:cstheme="majorHAnsi"/>
        <w:lang w:bidi="it-IT"/>
      </w:rPr>
      <w:fldChar w:fldCharType="end"/>
    </w:r>
  </w:p>
  <w:p w14:paraId="2D3AD717" w14:textId="4E68271D" w:rsidR="009E6E4D" w:rsidRPr="008261B1" w:rsidRDefault="00DD7FBB" w:rsidP="00EA53FF">
    <w:pPr>
      <w:pStyle w:val="Agency-footer"/>
      <w:rPr>
        <w:rFonts w:asciiTheme="majorHAnsi" w:hAnsiTheme="majorHAnsi" w:cstheme="majorHAnsi"/>
      </w:rPr>
    </w:pPr>
    <w:r w:rsidRPr="008261B1">
      <w:rPr>
        <w:rFonts w:asciiTheme="majorHAnsi" w:hAnsiTheme="majorHAnsi" w:cstheme="majorHAnsi"/>
        <w:lang w:bidi="it-IT"/>
      </w:rPr>
      <w:t>Strumento di autovalutazione delle politiche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12B4D324" w:rsidR="00776FBF" w:rsidRPr="008261B1" w:rsidRDefault="00776FBF" w:rsidP="006C28CE">
    <w:pPr>
      <w:framePr w:wrap="none" w:vAnchor="text" w:hAnchor="margin" w:xAlign="right" w:y="1"/>
      <w:jc w:val="right"/>
      <w:rPr>
        <w:rFonts w:asciiTheme="majorHAnsi" w:hAnsiTheme="majorHAnsi" w:cstheme="majorHAnsi"/>
      </w:rPr>
    </w:pPr>
    <w:r w:rsidRPr="008261B1">
      <w:rPr>
        <w:rFonts w:asciiTheme="majorHAnsi" w:hAnsiTheme="majorHAnsi" w:cstheme="majorHAnsi"/>
        <w:lang w:bidi="it-IT"/>
      </w:rPr>
      <w:fldChar w:fldCharType="begin"/>
    </w:r>
    <w:r w:rsidRPr="008261B1">
      <w:rPr>
        <w:rFonts w:asciiTheme="majorHAnsi" w:hAnsiTheme="majorHAnsi" w:cstheme="majorHAnsi"/>
        <w:lang w:bidi="it-IT"/>
      </w:rPr>
      <w:instrText xml:space="preserve">PAGE  </w:instrText>
    </w:r>
    <w:r w:rsidRPr="008261B1">
      <w:rPr>
        <w:rFonts w:asciiTheme="majorHAnsi" w:hAnsiTheme="majorHAnsi" w:cstheme="majorHAnsi"/>
        <w:lang w:bidi="it-IT"/>
      </w:rPr>
      <w:fldChar w:fldCharType="separate"/>
    </w:r>
    <w:r w:rsidR="007E1548">
      <w:rPr>
        <w:rFonts w:asciiTheme="majorHAnsi" w:hAnsiTheme="majorHAnsi" w:cstheme="majorHAnsi"/>
        <w:noProof/>
        <w:lang w:bidi="it-IT"/>
      </w:rPr>
      <w:t>29</w:t>
    </w:r>
    <w:r w:rsidRPr="008261B1">
      <w:rPr>
        <w:rFonts w:asciiTheme="majorHAnsi" w:hAnsiTheme="majorHAnsi" w:cstheme="majorHAnsi"/>
        <w:lang w:bidi="it-IT"/>
      </w:rPr>
      <w:fldChar w:fldCharType="end"/>
    </w:r>
  </w:p>
  <w:p w14:paraId="482DCD87" w14:textId="0CB16518" w:rsidR="00776FBF" w:rsidRPr="008261B1" w:rsidRDefault="00E572CC" w:rsidP="006C28CE">
    <w:pPr>
      <w:pStyle w:val="Agency-footer"/>
      <w:ind w:right="360"/>
      <w:rPr>
        <w:rFonts w:asciiTheme="majorHAnsi" w:hAnsiTheme="majorHAnsi" w:cstheme="majorHAnsi"/>
      </w:rPr>
    </w:pPr>
    <w:r w:rsidRPr="008261B1">
      <w:rPr>
        <w:rFonts w:asciiTheme="majorHAnsi" w:hAnsiTheme="majorHAnsi" w:cstheme="majorHAnsi"/>
        <w:lang w:bidi="it-IT"/>
      </w:rPr>
      <w:t>Strumento di autovalutazione delle politiche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776FBF" w:rsidRDefault="007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934F9" w14:textId="77777777" w:rsidR="002A13AF" w:rsidRDefault="002A13AF">
      <w:r>
        <w:separator/>
      </w:r>
    </w:p>
  </w:footnote>
  <w:footnote w:type="continuationSeparator" w:id="0">
    <w:p w14:paraId="3A198987" w14:textId="77777777" w:rsidR="002A13AF" w:rsidRDefault="002A1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9E6E4D" w:rsidRDefault="009E6E4D" w:rsidP="00EA53FF">
    <w:pPr>
      <w:jc w:val="center"/>
    </w:pPr>
    <w:r>
      <w:rPr>
        <w:noProof/>
        <w:lang w:val="el-GR" w:eastAsia="el-GR"/>
      </w:rPr>
      <w:drawing>
        <wp:inline distT="0" distB="0" distL="0" distR="0" wp14:anchorId="792E614D" wp14:editId="0357BDAA">
          <wp:extent cx="5672455" cy="474345"/>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9E6E4D" w:rsidRDefault="009E6E4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9E6E4D" w:rsidRDefault="009E6E4D" w:rsidP="00EA53FF">
    <w:pPr>
      <w:jc w:val="center"/>
    </w:pPr>
    <w:r>
      <w:rPr>
        <w:noProof/>
        <w:lang w:val="el-GR" w:eastAsia="el-GR"/>
      </w:rPr>
      <w:drawing>
        <wp:inline distT="0" distB="0" distL="0" distR="0" wp14:anchorId="5813CB71" wp14:editId="0A70A018">
          <wp:extent cx="5611495" cy="451485"/>
          <wp:effectExtent l="0" t="0" r="1905"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776FBF" w:rsidRDefault="00776FBF" w:rsidP="00EA53FF">
    <w:pPr>
      <w:jc w:val="center"/>
    </w:pPr>
    <w:r>
      <w:rPr>
        <w:noProof/>
        <w:lang w:val="el-GR" w:eastAsia="el-GR"/>
      </w:rPr>
      <w:drawing>
        <wp:inline distT="0" distB="0" distL="0" distR="0" wp14:anchorId="0BFD9E72" wp14:editId="57BAB9CE">
          <wp:extent cx="5672455" cy="474345"/>
          <wp:effectExtent l="0" t="0" r="0" b="8255"/>
          <wp:docPr id="1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776FBF" w:rsidRDefault="00776FB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776FBF" w:rsidRDefault="00776FBF" w:rsidP="00EA53FF">
    <w:pPr>
      <w:jc w:val="center"/>
    </w:pPr>
    <w:r w:rsidRPr="00EF7AE3">
      <w:rPr>
        <w:b/>
        <w:noProof/>
        <w:lang w:val="el-GR" w:eastAsia="el-GR"/>
      </w:rPr>
      <w:drawing>
        <wp:inline distT="0" distB="0" distL="0" distR="0" wp14:anchorId="10BBF562" wp14:editId="4565111A">
          <wp:extent cx="9163050" cy="464820"/>
          <wp:effectExtent l="0" t="0" r="635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776FBF" w:rsidRDefault="00776FBF"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776FBF" w:rsidRDefault="00776FBF">
    <w:r>
      <w:rPr>
        <w:noProof/>
        <w:lang w:val="el-GR" w:eastAsia="el-GR"/>
      </w:rPr>
      <w:drawing>
        <wp:inline distT="0" distB="0" distL="0" distR="0" wp14:anchorId="2ECDFA4E" wp14:editId="2C05F70E">
          <wp:extent cx="9163050" cy="464820"/>
          <wp:effectExtent l="0" t="0" r="6350" b="508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776FBF" w:rsidRDefault="00776FB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776FBF" w:rsidRDefault="00776F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776FBF" w:rsidRDefault="00776FBF" w:rsidP="00EA53FF">
    <w:pPr>
      <w:jc w:val="center"/>
    </w:pPr>
    <w:r>
      <w:rPr>
        <w:noProof/>
        <w:lang w:val="el-GR" w:eastAsia="el-GR"/>
      </w:rPr>
      <w:drawing>
        <wp:inline distT="0" distB="0" distL="0" distR="0" wp14:anchorId="0A9FFAB7" wp14:editId="75D3D024">
          <wp:extent cx="5611495" cy="469247"/>
          <wp:effectExtent l="0" t="0" r="0" b="1270"/>
          <wp:docPr id="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776FBF" w:rsidRDefault="00776FB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776FBF" w:rsidRDefault="00776FBF">
    <w:r>
      <w:rPr>
        <w:noProof/>
        <w:lang w:val="el-GR" w:eastAsia="el-GR"/>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776FBF" w:rsidRDefault="00776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520698975">
    <w:abstractNumId w:val="34"/>
  </w:num>
  <w:num w:numId="2" w16cid:durableId="401101193">
    <w:abstractNumId w:val="40"/>
  </w:num>
  <w:num w:numId="3" w16cid:durableId="297029523">
    <w:abstractNumId w:val="15"/>
  </w:num>
  <w:num w:numId="4" w16cid:durableId="1130322298">
    <w:abstractNumId w:val="46"/>
  </w:num>
  <w:num w:numId="5" w16cid:durableId="168251989">
    <w:abstractNumId w:val="11"/>
  </w:num>
  <w:num w:numId="6" w16cid:durableId="372390234">
    <w:abstractNumId w:val="12"/>
  </w:num>
  <w:num w:numId="7" w16cid:durableId="175995831">
    <w:abstractNumId w:val="13"/>
  </w:num>
  <w:num w:numId="8" w16cid:durableId="1557207445">
    <w:abstractNumId w:val="41"/>
  </w:num>
  <w:num w:numId="9" w16cid:durableId="471363401">
    <w:abstractNumId w:val="38"/>
  </w:num>
  <w:num w:numId="10" w16cid:durableId="256913458">
    <w:abstractNumId w:val="23"/>
  </w:num>
  <w:num w:numId="11" w16cid:durableId="608662077">
    <w:abstractNumId w:val="20"/>
  </w:num>
  <w:num w:numId="12" w16cid:durableId="1795246670">
    <w:abstractNumId w:val="35"/>
  </w:num>
  <w:num w:numId="13" w16cid:durableId="1933274908">
    <w:abstractNumId w:val="26"/>
  </w:num>
  <w:num w:numId="14" w16cid:durableId="1970433731">
    <w:abstractNumId w:val="42"/>
  </w:num>
  <w:num w:numId="15" w16cid:durableId="226110683">
    <w:abstractNumId w:val="17"/>
  </w:num>
  <w:num w:numId="16" w16cid:durableId="357851799">
    <w:abstractNumId w:val="44"/>
  </w:num>
  <w:num w:numId="17" w16cid:durableId="243536015">
    <w:abstractNumId w:val="21"/>
  </w:num>
  <w:num w:numId="18" w16cid:durableId="940645159">
    <w:abstractNumId w:val="27"/>
  </w:num>
  <w:num w:numId="19" w16cid:durableId="441807616">
    <w:abstractNumId w:val="32"/>
  </w:num>
  <w:num w:numId="20" w16cid:durableId="223758622">
    <w:abstractNumId w:val="30"/>
  </w:num>
  <w:num w:numId="21" w16cid:durableId="535849531">
    <w:abstractNumId w:val="22"/>
  </w:num>
  <w:num w:numId="22" w16cid:durableId="59136945">
    <w:abstractNumId w:val="37"/>
  </w:num>
  <w:num w:numId="23" w16cid:durableId="1533688093">
    <w:abstractNumId w:val="48"/>
  </w:num>
  <w:num w:numId="24" w16cid:durableId="1127163910">
    <w:abstractNumId w:val="25"/>
  </w:num>
  <w:num w:numId="25" w16cid:durableId="194539620">
    <w:abstractNumId w:val="0"/>
  </w:num>
  <w:num w:numId="26" w16cid:durableId="1940866678">
    <w:abstractNumId w:val="10"/>
  </w:num>
  <w:num w:numId="27" w16cid:durableId="2011562259">
    <w:abstractNumId w:val="8"/>
  </w:num>
  <w:num w:numId="28" w16cid:durableId="2004577645">
    <w:abstractNumId w:val="7"/>
  </w:num>
  <w:num w:numId="29" w16cid:durableId="844320274">
    <w:abstractNumId w:val="6"/>
  </w:num>
  <w:num w:numId="30" w16cid:durableId="1871726300">
    <w:abstractNumId w:val="5"/>
  </w:num>
  <w:num w:numId="31" w16cid:durableId="1024594917">
    <w:abstractNumId w:val="9"/>
  </w:num>
  <w:num w:numId="32" w16cid:durableId="2025742353">
    <w:abstractNumId w:val="4"/>
  </w:num>
  <w:num w:numId="33" w16cid:durableId="988829468">
    <w:abstractNumId w:val="3"/>
  </w:num>
  <w:num w:numId="34" w16cid:durableId="518587219">
    <w:abstractNumId w:val="2"/>
  </w:num>
  <w:num w:numId="35" w16cid:durableId="506137259">
    <w:abstractNumId w:val="1"/>
  </w:num>
  <w:num w:numId="36" w16cid:durableId="803155539">
    <w:abstractNumId w:val="19"/>
  </w:num>
  <w:num w:numId="37" w16cid:durableId="2029408668">
    <w:abstractNumId w:val="36"/>
  </w:num>
  <w:num w:numId="38" w16cid:durableId="1562591098">
    <w:abstractNumId w:val="16"/>
  </w:num>
  <w:num w:numId="39" w16cid:durableId="864564608">
    <w:abstractNumId w:val="29"/>
  </w:num>
  <w:num w:numId="40" w16cid:durableId="1926568004">
    <w:abstractNumId w:val="18"/>
  </w:num>
  <w:num w:numId="41" w16cid:durableId="1968509204">
    <w:abstractNumId w:val="45"/>
  </w:num>
  <w:num w:numId="42" w16cid:durableId="576942666">
    <w:abstractNumId w:val="47"/>
  </w:num>
  <w:num w:numId="43" w16cid:durableId="2014606782">
    <w:abstractNumId w:val="39"/>
  </w:num>
  <w:num w:numId="44" w16cid:durableId="867766292">
    <w:abstractNumId w:val="43"/>
  </w:num>
  <w:num w:numId="45" w16cid:durableId="1318992138">
    <w:abstractNumId w:val="31"/>
  </w:num>
  <w:num w:numId="46" w16cid:durableId="1844274821">
    <w:abstractNumId w:val="24"/>
  </w:num>
  <w:num w:numId="47" w16cid:durableId="820852513">
    <w:abstractNumId w:val="33"/>
  </w:num>
  <w:num w:numId="48" w16cid:durableId="1915702912">
    <w:abstractNumId w:val="14"/>
  </w:num>
  <w:num w:numId="49" w16cid:durableId="4642721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BF"/>
    <w:rsid w:val="000017DB"/>
    <w:rsid w:val="000034CB"/>
    <w:rsid w:val="000045E5"/>
    <w:rsid w:val="000051EC"/>
    <w:rsid w:val="00006C80"/>
    <w:rsid w:val="000152BE"/>
    <w:rsid w:val="00020583"/>
    <w:rsid w:val="00034EDC"/>
    <w:rsid w:val="000352C0"/>
    <w:rsid w:val="000353D5"/>
    <w:rsid w:val="00040142"/>
    <w:rsid w:val="000402C4"/>
    <w:rsid w:val="000438BA"/>
    <w:rsid w:val="00046370"/>
    <w:rsid w:val="000478DB"/>
    <w:rsid w:val="0005087A"/>
    <w:rsid w:val="0006085F"/>
    <w:rsid w:val="00063AA7"/>
    <w:rsid w:val="00064A4B"/>
    <w:rsid w:val="00066F3B"/>
    <w:rsid w:val="0007374F"/>
    <w:rsid w:val="00077E1F"/>
    <w:rsid w:val="00080BFB"/>
    <w:rsid w:val="00083933"/>
    <w:rsid w:val="0009536E"/>
    <w:rsid w:val="00096A3D"/>
    <w:rsid w:val="000A5EE7"/>
    <w:rsid w:val="000A7FAE"/>
    <w:rsid w:val="000B0500"/>
    <w:rsid w:val="000B1F72"/>
    <w:rsid w:val="000B35DF"/>
    <w:rsid w:val="000B4F5A"/>
    <w:rsid w:val="000B578B"/>
    <w:rsid w:val="000C6227"/>
    <w:rsid w:val="000C64AD"/>
    <w:rsid w:val="000C765B"/>
    <w:rsid w:val="000D1BFB"/>
    <w:rsid w:val="000E08E0"/>
    <w:rsid w:val="000E1AAE"/>
    <w:rsid w:val="000E2F2A"/>
    <w:rsid w:val="000E4E8A"/>
    <w:rsid w:val="000F21AC"/>
    <w:rsid w:val="000F7CC5"/>
    <w:rsid w:val="00101CFD"/>
    <w:rsid w:val="001031C2"/>
    <w:rsid w:val="001038D4"/>
    <w:rsid w:val="00105B69"/>
    <w:rsid w:val="00111E52"/>
    <w:rsid w:val="00125AEB"/>
    <w:rsid w:val="0012684E"/>
    <w:rsid w:val="00132650"/>
    <w:rsid w:val="00137A44"/>
    <w:rsid w:val="001415AF"/>
    <w:rsid w:val="00142C72"/>
    <w:rsid w:val="001437F1"/>
    <w:rsid w:val="001515D5"/>
    <w:rsid w:val="001564BE"/>
    <w:rsid w:val="00160C89"/>
    <w:rsid w:val="00164612"/>
    <w:rsid w:val="00165FE3"/>
    <w:rsid w:val="00174A0C"/>
    <w:rsid w:val="0017526F"/>
    <w:rsid w:val="001839E0"/>
    <w:rsid w:val="00185901"/>
    <w:rsid w:val="001859D8"/>
    <w:rsid w:val="00187C9A"/>
    <w:rsid w:val="00192B96"/>
    <w:rsid w:val="001A294F"/>
    <w:rsid w:val="001A3B70"/>
    <w:rsid w:val="001A545F"/>
    <w:rsid w:val="001B21C6"/>
    <w:rsid w:val="001B425D"/>
    <w:rsid w:val="001B4828"/>
    <w:rsid w:val="001C47A6"/>
    <w:rsid w:val="001C6F84"/>
    <w:rsid w:val="001D3CC9"/>
    <w:rsid w:val="001D5BE0"/>
    <w:rsid w:val="001D6D2D"/>
    <w:rsid w:val="001E18B8"/>
    <w:rsid w:val="001E2C09"/>
    <w:rsid w:val="001E60A8"/>
    <w:rsid w:val="001E6CBF"/>
    <w:rsid w:val="001F0429"/>
    <w:rsid w:val="001F1296"/>
    <w:rsid w:val="001F2576"/>
    <w:rsid w:val="001F32B6"/>
    <w:rsid w:val="002012F7"/>
    <w:rsid w:val="002027C7"/>
    <w:rsid w:val="00202F49"/>
    <w:rsid w:val="00203F24"/>
    <w:rsid w:val="002133A0"/>
    <w:rsid w:val="00214945"/>
    <w:rsid w:val="002224DC"/>
    <w:rsid w:val="0022276E"/>
    <w:rsid w:val="00222E65"/>
    <w:rsid w:val="00227EEE"/>
    <w:rsid w:val="00233CBC"/>
    <w:rsid w:val="00241692"/>
    <w:rsid w:val="0024208D"/>
    <w:rsid w:val="002450F6"/>
    <w:rsid w:val="00251206"/>
    <w:rsid w:val="00252720"/>
    <w:rsid w:val="00254157"/>
    <w:rsid w:val="00254870"/>
    <w:rsid w:val="00263BB8"/>
    <w:rsid w:val="00264617"/>
    <w:rsid w:val="0027286E"/>
    <w:rsid w:val="00274549"/>
    <w:rsid w:val="00277E1B"/>
    <w:rsid w:val="0028372F"/>
    <w:rsid w:val="00285752"/>
    <w:rsid w:val="00285D4C"/>
    <w:rsid w:val="0029385A"/>
    <w:rsid w:val="002A13AF"/>
    <w:rsid w:val="002A66E0"/>
    <w:rsid w:val="002B037F"/>
    <w:rsid w:val="002B24D1"/>
    <w:rsid w:val="002B618D"/>
    <w:rsid w:val="002B72AA"/>
    <w:rsid w:val="002C344A"/>
    <w:rsid w:val="002C75C3"/>
    <w:rsid w:val="002D53C5"/>
    <w:rsid w:val="002D55E4"/>
    <w:rsid w:val="002E3141"/>
    <w:rsid w:val="002E3662"/>
    <w:rsid w:val="002E429F"/>
    <w:rsid w:val="002E5B99"/>
    <w:rsid w:val="002E5F0A"/>
    <w:rsid w:val="002F1991"/>
    <w:rsid w:val="002F469A"/>
    <w:rsid w:val="002F78E3"/>
    <w:rsid w:val="003041B7"/>
    <w:rsid w:val="0030489A"/>
    <w:rsid w:val="00310724"/>
    <w:rsid w:val="00311908"/>
    <w:rsid w:val="00317C60"/>
    <w:rsid w:val="003216B2"/>
    <w:rsid w:val="00324864"/>
    <w:rsid w:val="00334945"/>
    <w:rsid w:val="00334CCE"/>
    <w:rsid w:val="003365BF"/>
    <w:rsid w:val="00336BC4"/>
    <w:rsid w:val="00345563"/>
    <w:rsid w:val="00350D63"/>
    <w:rsid w:val="00351B55"/>
    <w:rsid w:val="00351D16"/>
    <w:rsid w:val="00352DEC"/>
    <w:rsid w:val="00355EBA"/>
    <w:rsid w:val="00357686"/>
    <w:rsid w:val="0036297A"/>
    <w:rsid w:val="003652DB"/>
    <w:rsid w:val="003658EF"/>
    <w:rsid w:val="00366B89"/>
    <w:rsid w:val="00372E08"/>
    <w:rsid w:val="00373A6C"/>
    <w:rsid w:val="00375FD6"/>
    <w:rsid w:val="00380519"/>
    <w:rsid w:val="0038423D"/>
    <w:rsid w:val="00385847"/>
    <w:rsid w:val="00394763"/>
    <w:rsid w:val="003A0F85"/>
    <w:rsid w:val="003A1FA0"/>
    <w:rsid w:val="003A359A"/>
    <w:rsid w:val="003A44AC"/>
    <w:rsid w:val="003B7FD6"/>
    <w:rsid w:val="003C0797"/>
    <w:rsid w:val="003C5896"/>
    <w:rsid w:val="003C6224"/>
    <w:rsid w:val="003D0747"/>
    <w:rsid w:val="003D28FD"/>
    <w:rsid w:val="003D4B50"/>
    <w:rsid w:val="003E03F2"/>
    <w:rsid w:val="003E1AC9"/>
    <w:rsid w:val="00403ADE"/>
    <w:rsid w:val="004057F6"/>
    <w:rsid w:val="00411DC9"/>
    <w:rsid w:val="00424A95"/>
    <w:rsid w:val="004264FF"/>
    <w:rsid w:val="0042665A"/>
    <w:rsid w:val="00427850"/>
    <w:rsid w:val="004308A3"/>
    <w:rsid w:val="0043296C"/>
    <w:rsid w:val="00433233"/>
    <w:rsid w:val="00444F29"/>
    <w:rsid w:val="00446F78"/>
    <w:rsid w:val="00455F42"/>
    <w:rsid w:val="00457BA9"/>
    <w:rsid w:val="00471B89"/>
    <w:rsid w:val="00475D6E"/>
    <w:rsid w:val="00480F6E"/>
    <w:rsid w:val="0048297A"/>
    <w:rsid w:val="00485AA7"/>
    <w:rsid w:val="00487997"/>
    <w:rsid w:val="00491F23"/>
    <w:rsid w:val="004968F0"/>
    <w:rsid w:val="004975D8"/>
    <w:rsid w:val="004979FD"/>
    <w:rsid w:val="00497D1F"/>
    <w:rsid w:val="004A2584"/>
    <w:rsid w:val="004A6652"/>
    <w:rsid w:val="004B2578"/>
    <w:rsid w:val="004B2C76"/>
    <w:rsid w:val="004C177C"/>
    <w:rsid w:val="004C1AD1"/>
    <w:rsid w:val="004C1E6B"/>
    <w:rsid w:val="004C46F3"/>
    <w:rsid w:val="004C66A9"/>
    <w:rsid w:val="004D0A83"/>
    <w:rsid w:val="004D13AB"/>
    <w:rsid w:val="004D2F58"/>
    <w:rsid w:val="004F0CE5"/>
    <w:rsid w:val="004F3D9E"/>
    <w:rsid w:val="00505892"/>
    <w:rsid w:val="00510735"/>
    <w:rsid w:val="0051463D"/>
    <w:rsid w:val="00517B46"/>
    <w:rsid w:val="0052156A"/>
    <w:rsid w:val="005319B5"/>
    <w:rsid w:val="00534D20"/>
    <w:rsid w:val="00543895"/>
    <w:rsid w:val="00543E0F"/>
    <w:rsid w:val="00555E51"/>
    <w:rsid w:val="0055786D"/>
    <w:rsid w:val="00564356"/>
    <w:rsid w:val="00575480"/>
    <w:rsid w:val="005770C4"/>
    <w:rsid w:val="00580C57"/>
    <w:rsid w:val="00581BFC"/>
    <w:rsid w:val="00582AC6"/>
    <w:rsid w:val="0058542F"/>
    <w:rsid w:val="00585D73"/>
    <w:rsid w:val="005877D0"/>
    <w:rsid w:val="00591FE3"/>
    <w:rsid w:val="005A193A"/>
    <w:rsid w:val="005A2A04"/>
    <w:rsid w:val="005A5106"/>
    <w:rsid w:val="005A526E"/>
    <w:rsid w:val="005A7D73"/>
    <w:rsid w:val="005B2829"/>
    <w:rsid w:val="005C1C45"/>
    <w:rsid w:val="005C5E5B"/>
    <w:rsid w:val="005D0CDE"/>
    <w:rsid w:val="005D5C15"/>
    <w:rsid w:val="005E08D6"/>
    <w:rsid w:val="005E4D69"/>
    <w:rsid w:val="005E5132"/>
    <w:rsid w:val="005E5618"/>
    <w:rsid w:val="005F0EC6"/>
    <w:rsid w:val="005F4B0F"/>
    <w:rsid w:val="00604D51"/>
    <w:rsid w:val="00621A55"/>
    <w:rsid w:val="006250EF"/>
    <w:rsid w:val="00630271"/>
    <w:rsid w:val="006334B8"/>
    <w:rsid w:val="00635C0D"/>
    <w:rsid w:val="00643BD6"/>
    <w:rsid w:val="006452A1"/>
    <w:rsid w:val="00647407"/>
    <w:rsid w:val="00650CC2"/>
    <w:rsid w:val="00651FD2"/>
    <w:rsid w:val="00653129"/>
    <w:rsid w:val="006534D2"/>
    <w:rsid w:val="0065368C"/>
    <w:rsid w:val="006630CA"/>
    <w:rsid w:val="00667788"/>
    <w:rsid w:val="00671077"/>
    <w:rsid w:val="00676426"/>
    <w:rsid w:val="00677695"/>
    <w:rsid w:val="00687253"/>
    <w:rsid w:val="00690E4E"/>
    <w:rsid w:val="006916D1"/>
    <w:rsid w:val="00691CF4"/>
    <w:rsid w:val="00694693"/>
    <w:rsid w:val="00695CD9"/>
    <w:rsid w:val="00697BC1"/>
    <w:rsid w:val="006A24EE"/>
    <w:rsid w:val="006A335C"/>
    <w:rsid w:val="006C4BE6"/>
    <w:rsid w:val="006D333A"/>
    <w:rsid w:val="006E3609"/>
    <w:rsid w:val="006E7573"/>
    <w:rsid w:val="006E7CC1"/>
    <w:rsid w:val="006F749F"/>
    <w:rsid w:val="0070311B"/>
    <w:rsid w:val="00703ACD"/>
    <w:rsid w:val="00705A86"/>
    <w:rsid w:val="0071464E"/>
    <w:rsid w:val="00714AC8"/>
    <w:rsid w:val="00716150"/>
    <w:rsid w:val="0071630E"/>
    <w:rsid w:val="0072620E"/>
    <w:rsid w:val="00726D05"/>
    <w:rsid w:val="0073499D"/>
    <w:rsid w:val="007405CA"/>
    <w:rsid w:val="0074315C"/>
    <w:rsid w:val="00745ACA"/>
    <w:rsid w:val="0074639B"/>
    <w:rsid w:val="007469E0"/>
    <w:rsid w:val="00751D27"/>
    <w:rsid w:val="00752A70"/>
    <w:rsid w:val="0075588E"/>
    <w:rsid w:val="007576DF"/>
    <w:rsid w:val="0076222A"/>
    <w:rsid w:val="00765477"/>
    <w:rsid w:val="00765778"/>
    <w:rsid w:val="0076780E"/>
    <w:rsid w:val="007702C5"/>
    <w:rsid w:val="007730D5"/>
    <w:rsid w:val="00776FBF"/>
    <w:rsid w:val="00786E42"/>
    <w:rsid w:val="007879BF"/>
    <w:rsid w:val="0079260D"/>
    <w:rsid w:val="007973AC"/>
    <w:rsid w:val="007A4244"/>
    <w:rsid w:val="007A448D"/>
    <w:rsid w:val="007A4520"/>
    <w:rsid w:val="007A69E7"/>
    <w:rsid w:val="007D2C8B"/>
    <w:rsid w:val="007D315D"/>
    <w:rsid w:val="007D5993"/>
    <w:rsid w:val="007E052A"/>
    <w:rsid w:val="007E1548"/>
    <w:rsid w:val="007F0304"/>
    <w:rsid w:val="007F1D22"/>
    <w:rsid w:val="007F52C0"/>
    <w:rsid w:val="008109B9"/>
    <w:rsid w:val="008116F9"/>
    <w:rsid w:val="008126B7"/>
    <w:rsid w:val="00812D5C"/>
    <w:rsid w:val="00814646"/>
    <w:rsid w:val="008159FC"/>
    <w:rsid w:val="00821A51"/>
    <w:rsid w:val="00825545"/>
    <w:rsid w:val="00825E6D"/>
    <w:rsid w:val="008261B1"/>
    <w:rsid w:val="00830DAE"/>
    <w:rsid w:val="0083159B"/>
    <w:rsid w:val="00831A03"/>
    <w:rsid w:val="008326AB"/>
    <w:rsid w:val="00836924"/>
    <w:rsid w:val="008403B2"/>
    <w:rsid w:val="008448DF"/>
    <w:rsid w:val="00851254"/>
    <w:rsid w:val="0085235E"/>
    <w:rsid w:val="0085303A"/>
    <w:rsid w:val="00853963"/>
    <w:rsid w:val="00857EEF"/>
    <w:rsid w:val="008609C6"/>
    <w:rsid w:val="00864818"/>
    <w:rsid w:val="00865D1B"/>
    <w:rsid w:val="008669CF"/>
    <w:rsid w:val="00867005"/>
    <w:rsid w:val="0086768F"/>
    <w:rsid w:val="0087477E"/>
    <w:rsid w:val="00886875"/>
    <w:rsid w:val="00892F1B"/>
    <w:rsid w:val="0089408B"/>
    <w:rsid w:val="0089455A"/>
    <w:rsid w:val="008974A2"/>
    <w:rsid w:val="008A2889"/>
    <w:rsid w:val="008B24CF"/>
    <w:rsid w:val="008B29C7"/>
    <w:rsid w:val="008B36F5"/>
    <w:rsid w:val="008B53E0"/>
    <w:rsid w:val="008B564A"/>
    <w:rsid w:val="008C0901"/>
    <w:rsid w:val="008C3AE8"/>
    <w:rsid w:val="008C5ECE"/>
    <w:rsid w:val="008D176E"/>
    <w:rsid w:val="008D1A95"/>
    <w:rsid w:val="008D33CE"/>
    <w:rsid w:val="008D3602"/>
    <w:rsid w:val="008D4BC1"/>
    <w:rsid w:val="008E0596"/>
    <w:rsid w:val="008E05A8"/>
    <w:rsid w:val="008E4726"/>
    <w:rsid w:val="008F004A"/>
    <w:rsid w:val="008F04DB"/>
    <w:rsid w:val="008F05DA"/>
    <w:rsid w:val="008F0733"/>
    <w:rsid w:val="008F7178"/>
    <w:rsid w:val="008F777A"/>
    <w:rsid w:val="0090027B"/>
    <w:rsid w:val="009028C8"/>
    <w:rsid w:val="00902E6A"/>
    <w:rsid w:val="00907466"/>
    <w:rsid w:val="00907954"/>
    <w:rsid w:val="0091090A"/>
    <w:rsid w:val="00916467"/>
    <w:rsid w:val="0092193F"/>
    <w:rsid w:val="009266EA"/>
    <w:rsid w:val="00932E4F"/>
    <w:rsid w:val="00937204"/>
    <w:rsid w:val="00937D4D"/>
    <w:rsid w:val="00942D91"/>
    <w:rsid w:val="00945A05"/>
    <w:rsid w:val="0094715A"/>
    <w:rsid w:val="0094795C"/>
    <w:rsid w:val="009539AA"/>
    <w:rsid w:val="009700E1"/>
    <w:rsid w:val="00972B60"/>
    <w:rsid w:val="00972FC8"/>
    <w:rsid w:val="00976592"/>
    <w:rsid w:val="009779DE"/>
    <w:rsid w:val="00980F3C"/>
    <w:rsid w:val="00986F3F"/>
    <w:rsid w:val="00993A74"/>
    <w:rsid w:val="009943DF"/>
    <w:rsid w:val="009A01C1"/>
    <w:rsid w:val="009A07B3"/>
    <w:rsid w:val="009A21A0"/>
    <w:rsid w:val="009A2223"/>
    <w:rsid w:val="009A29FC"/>
    <w:rsid w:val="009A4E5E"/>
    <w:rsid w:val="009B2900"/>
    <w:rsid w:val="009B5A48"/>
    <w:rsid w:val="009B6F3D"/>
    <w:rsid w:val="009C17C6"/>
    <w:rsid w:val="009C268C"/>
    <w:rsid w:val="009C5A82"/>
    <w:rsid w:val="009C62BC"/>
    <w:rsid w:val="009D01DE"/>
    <w:rsid w:val="009D3B6D"/>
    <w:rsid w:val="009D5E4C"/>
    <w:rsid w:val="009E0264"/>
    <w:rsid w:val="009E0CB9"/>
    <w:rsid w:val="009E0FF3"/>
    <w:rsid w:val="009E6E4D"/>
    <w:rsid w:val="009F0A4A"/>
    <w:rsid w:val="009F622B"/>
    <w:rsid w:val="00A0258E"/>
    <w:rsid w:val="00A02B29"/>
    <w:rsid w:val="00A03B63"/>
    <w:rsid w:val="00A03C75"/>
    <w:rsid w:val="00A05325"/>
    <w:rsid w:val="00A16BA8"/>
    <w:rsid w:val="00A2019A"/>
    <w:rsid w:val="00A22FC1"/>
    <w:rsid w:val="00A2487B"/>
    <w:rsid w:val="00A313B7"/>
    <w:rsid w:val="00A31A02"/>
    <w:rsid w:val="00A33022"/>
    <w:rsid w:val="00A365B0"/>
    <w:rsid w:val="00A4520C"/>
    <w:rsid w:val="00A469F5"/>
    <w:rsid w:val="00A50260"/>
    <w:rsid w:val="00A51C2E"/>
    <w:rsid w:val="00A56E1C"/>
    <w:rsid w:val="00A5731E"/>
    <w:rsid w:val="00A60AB8"/>
    <w:rsid w:val="00A65E39"/>
    <w:rsid w:val="00A666AC"/>
    <w:rsid w:val="00A67553"/>
    <w:rsid w:val="00A7619C"/>
    <w:rsid w:val="00A767E9"/>
    <w:rsid w:val="00A8402E"/>
    <w:rsid w:val="00A948CE"/>
    <w:rsid w:val="00A95FE2"/>
    <w:rsid w:val="00A97EAB"/>
    <w:rsid w:val="00AA371B"/>
    <w:rsid w:val="00AB04BC"/>
    <w:rsid w:val="00AB47C3"/>
    <w:rsid w:val="00AB7154"/>
    <w:rsid w:val="00AB7F0D"/>
    <w:rsid w:val="00AC0A3B"/>
    <w:rsid w:val="00AC0E47"/>
    <w:rsid w:val="00AC1A71"/>
    <w:rsid w:val="00AC3142"/>
    <w:rsid w:val="00AC5318"/>
    <w:rsid w:val="00AC7DFB"/>
    <w:rsid w:val="00AD5581"/>
    <w:rsid w:val="00AD7433"/>
    <w:rsid w:val="00AE0DDC"/>
    <w:rsid w:val="00AE1692"/>
    <w:rsid w:val="00AE1E09"/>
    <w:rsid w:val="00AE274A"/>
    <w:rsid w:val="00AE5746"/>
    <w:rsid w:val="00AE6FFA"/>
    <w:rsid w:val="00AF3687"/>
    <w:rsid w:val="00B167D7"/>
    <w:rsid w:val="00B169D2"/>
    <w:rsid w:val="00B17421"/>
    <w:rsid w:val="00B20164"/>
    <w:rsid w:val="00B23A4C"/>
    <w:rsid w:val="00B24C4A"/>
    <w:rsid w:val="00B2693F"/>
    <w:rsid w:val="00B30A9D"/>
    <w:rsid w:val="00B30C09"/>
    <w:rsid w:val="00B318D5"/>
    <w:rsid w:val="00B35353"/>
    <w:rsid w:val="00B474F4"/>
    <w:rsid w:val="00B47998"/>
    <w:rsid w:val="00B5358C"/>
    <w:rsid w:val="00B53A4D"/>
    <w:rsid w:val="00B54CF1"/>
    <w:rsid w:val="00B61792"/>
    <w:rsid w:val="00B640A2"/>
    <w:rsid w:val="00B71F5F"/>
    <w:rsid w:val="00B738D4"/>
    <w:rsid w:val="00B75442"/>
    <w:rsid w:val="00B778BC"/>
    <w:rsid w:val="00B815C3"/>
    <w:rsid w:val="00B82D29"/>
    <w:rsid w:val="00B84EAB"/>
    <w:rsid w:val="00B85FB0"/>
    <w:rsid w:val="00B870E1"/>
    <w:rsid w:val="00B87D06"/>
    <w:rsid w:val="00B92015"/>
    <w:rsid w:val="00B922CC"/>
    <w:rsid w:val="00B9303D"/>
    <w:rsid w:val="00B94B07"/>
    <w:rsid w:val="00B96828"/>
    <w:rsid w:val="00BA7F4E"/>
    <w:rsid w:val="00BB097D"/>
    <w:rsid w:val="00BB1A53"/>
    <w:rsid w:val="00BB2468"/>
    <w:rsid w:val="00BB5C56"/>
    <w:rsid w:val="00BB6A9B"/>
    <w:rsid w:val="00BB6CB4"/>
    <w:rsid w:val="00BC00DE"/>
    <w:rsid w:val="00BC4A3F"/>
    <w:rsid w:val="00BD101B"/>
    <w:rsid w:val="00BE2372"/>
    <w:rsid w:val="00BE6039"/>
    <w:rsid w:val="00BE7172"/>
    <w:rsid w:val="00BF13BA"/>
    <w:rsid w:val="00BF4777"/>
    <w:rsid w:val="00C01509"/>
    <w:rsid w:val="00C053AD"/>
    <w:rsid w:val="00C0685B"/>
    <w:rsid w:val="00C07550"/>
    <w:rsid w:val="00C159B7"/>
    <w:rsid w:val="00C16418"/>
    <w:rsid w:val="00C24EC6"/>
    <w:rsid w:val="00C30073"/>
    <w:rsid w:val="00C35FE3"/>
    <w:rsid w:val="00C3684F"/>
    <w:rsid w:val="00C42EF0"/>
    <w:rsid w:val="00C439D3"/>
    <w:rsid w:val="00C445B1"/>
    <w:rsid w:val="00C446D8"/>
    <w:rsid w:val="00C45F87"/>
    <w:rsid w:val="00C47FD6"/>
    <w:rsid w:val="00C50DA2"/>
    <w:rsid w:val="00C51243"/>
    <w:rsid w:val="00C5328C"/>
    <w:rsid w:val="00C605BA"/>
    <w:rsid w:val="00C75176"/>
    <w:rsid w:val="00C80F00"/>
    <w:rsid w:val="00C81195"/>
    <w:rsid w:val="00C84C67"/>
    <w:rsid w:val="00C87218"/>
    <w:rsid w:val="00C930EB"/>
    <w:rsid w:val="00C94196"/>
    <w:rsid w:val="00C964F3"/>
    <w:rsid w:val="00CA315A"/>
    <w:rsid w:val="00CA6BB5"/>
    <w:rsid w:val="00CB2B51"/>
    <w:rsid w:val="00CC6A62"/>
    <w:rsid w:val="00CC6AE3"/>
    <w:rsid w:val="00CD275B"/>
    <w:rsid w:val="00CD2EAE"/>
    <w:rsid w:val="00CD2F15"/>
    <w:rsid w:val="00CE05D7"/>
    <w:rsid w:val="00CE1A01"/>
    <w:rsid w:val="00CE7872"/>
    <w:rsid w:val="00CF0766"/>
    <w:rsid w:val="00CF1140"/>
    <w:rsid w:val="00CF3CCB"/>
    <w:rsid w:val="00CF5278"/>
    <w:rsid w:val="00CF5CB6"/>
    <w:rsid w:val="00D00365"/>
    <w:rsid w:val="00D0360D"/>
    <w:rsid w:val="00D040F7"/>
    <w:rsid w:val="00D07135"/>
    <w:rsid w:val="00D15A56"/>
    <w:rsid w:val="00D1763F"/>
    <w:rsid w:val="00D178A8"/>
    <w:rsid w:val="00D21E23"/>
    <w:rsid w:val="00D22260"/>
    <w:rsid w:val="00D232FA"/>
    <w:rsid w:val="00D25C1B"/>
    <w:rsid w:val="00D31607"/>
    <w:rsid w:val="00D34F24"/>
    <w:rsid w:val="00D37E0B"/>
    <w:rsid w:val="00D421D6"/>
    <w:rsid w:val="00D50F65"/>
    <w:rsid w:val="00D5488A"/>
    <w:rsid w:val="00D55718"/>
    <w:rsid w:val="00D567CD"/>
    <w:rsid w:val="00D6013B"/>
    <w:rsid w:val="00D64116"/>
    <w:rsid w:val="00D66CE5"/>
    <w:rsid w:val="00D705E9"/>
    <w:rsid w:val="00D713FD"/>
    <w:rsid w:val="00D80503"/>
    <w:rsid w:val="00DA2A79"/>
    <w:rsid w:val="00DA3CED"/>
    <w:rsid w:val="00DB2C0F"/>
    <w:rsid w:val="00DB7AB3"/>
    <w:rsid w:val="00DC1032"/>
    <w:rsid w:val="00DC239F"/>
    <w:rsid w:val="00DC5DCD"/>
    <w:rsid w:val="00DC7598"/>
    <w:rsid w:val="00DD2911"/>
    <w:rsid w:val="00DD2D0D"/>
    <w:rsid w:val="00DD7FBB"/>
    <w:rsid w:val="00DE5F7C"/>
    <w:rsid w:val="00DE64E5"/>
    <w:rsid w:val="00DF209F"/>
    <w:rsid w:val="00DF2DBD"/>
    <w:rsid w:val="00DF3E9D"/>
    <w:rsid w:val="00DF50CC"/>
    <w:rsid w:val="00E008D1"/>
    <w:rsid w:val="00E06331"/>
    <w:rsid w:val="00E20E95"/>
    <w:rsid w:val="00E210E5"/>
    <w:rsid w:val="00E24AB8"/>
    <w:rsid w:val="00E255B4"/>
    <w:rsid w:val="00E274F3"/>
    <w:rsid w:val="00E331B2"/>
    <w:rsid w:val="00E33880"/>
    <w:rsid w:val="00E33DB7"/>
    <w:rsid w:val="00E44346"/>
    <w:rsid w:val="00E45F7B"/>
    <w:rsid w:val="00E5250E"/>
    <w:rsid w:val="00E56220"/>
    <w:rsid w:val="00E572CC"/>
    <w:rsid w:val="00E5783E"/>
    <w:rsid w:val="00E641F7"/>
    <w:rsid w:val="00E7181D"/>
    <w:rsid w:val="00E90934"/>
    <w:rsid w:val="00E91DEF"/>
    <w:rsid w:val="00E93FEE"/>
    <w:rsid w:val="00E94437"/>
    <w:rsid w:val="00E967BF"/>
    <w:rsid w:val="00E97E0F"/>
    <w:rsid w:val="00EA11D3"/>
    <w:rsid w:val="00EA196F"/>
    <w:rsid w:val="00EA53FF"/>
    <w:rsid w:val="00EA67E4"/>
    <w:rsid w:val="00EA7B68"/>
    <w:rsid w:val="00EB0D2B"/>
    <w:rsid w:val="00EB7C2C"/>
    <w:rsid w:val="00EC08FE"/>
    <w:rsid w:val="00EC1BAA"/>
    <w:rsid w:val="00EC7BA2"/>
    <w:rsid w:val="00ED265D"/>
    <w:rsid w:val="00ED3F85"/>
    <w:rsid w:val="00ED7617"/>
    <w:rsid w:val="00EE25E8"/>
    <w:rsid w:val="00EE2C04"/>
    <w:rsid w:val="00EE341F"/>
    <w:rsid w:val="00EE4742"/>
    <w:rsid w:val="00EE53B9"/>
    <w:rsid w:val="00EE73BA"/>
    <w:rsid w:val="00EF0CD3"/>
    <w:rsid w:val="00EF6C39"/>
    <w:rsid w:val="00EF75CD"/>
    <w:rsid w:val="00EF7CD1"/>
    <w:rsid w:val="00F02BFC"/>
    <w:rsid w:val="00F05DA7"/>
    <w:rsid w:val="00F0759F"/>
    <w:rsid w:val="00F07728"/>
    <w:rsid w:val="00F20AE4"/>
    <w:rsid w:val="00F30963"/>
    <w:rsid w:val="00F31E85"/>
    <w:rsid w:val="00F32D5B"/>
    <w:rsid w:val="00F365F8"/>
    <w:rsid w:val="00F51EFA"/>
    <w:rsid w:val="00F55231"/>
    <w:rsid w:val="00F57880"/>
    <w:rsid w:val="00F624CF"/>
    <w:rsid w:val="00F6313F"/>
    <w:rsid w:val="00F66175"/>
    <w:rsid w:val="00F720C5"/>
    <w:rsid w:val="00F84141"/>
    <w:rsid w:val="00F84A22"/>
    <w:rsid w:val="00F84DA7"/>
    <w:rsid w:val="00F85298"/>
    <w:rsid w:val="00F8563B"/>
    <w:rsid w:val="00F87C7F"/>
    <w:rsid w:val="00FA40A2"/>
    <w:rsid w:val="00FA4189"/>
    <w:rsid w:val="00FA4633"/>
    <w:rsid w:val="00FA4E72"/>
    <w:rsid w:val="00FA71B0"/>
    <w:rsid w:val="00FA7229"/>
    <w:rsid w:val="00FB34D8"/>
    <w:rsid w:val="00FB50C7"/>
    <w:rsid w:val="00FC0845"/>
    <w:rsid w:val="00FC08C3"/>
    <w:rsid w:val="00FC1006"/>
    <w:rsid w:val="00FC178F"/>
    <w:rsid w:val="00FD2C82"/>
    <w:rsid w:val="00FD3394"/>
    <w:rsid w:val="00FD660B"/>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val="fr-FR"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lang w:val="fr-FR"/>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lang w:val="fr-FR"/>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val="fr-FR"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val="fr-FR"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0438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footer" Target="footer3.xml"/><Relationship Id="rId39" Type="http://schemas.openxmlformats.org/officeDocument/2006/relationships/hyperlink" Target="https://www.european-agency.org/resources/publications/key-principles-supporting-policy-development-implementation" TargetMode="External"/><Relationship Id="rId21" Type="http://schemas.openxmlformats.org/officeDocument/2006/relationships/hyperlink" Target="mailto:brussels.office@european-agency.org" TargetMode="External"/><Relationship Id="rId34" Type="http://schemas.openxmlformats.org/officeDocument/2006/relationships/hyperlink" Target="https://www.edglossary.org/action-research/" TargetMode="External"/><Relationship Id="rId42" Type="http://schemas.openxmlformats.org/officeDocument/2006/relationships/hyperlink" Target="https://www.european-agency.org/resources/publications/analysis-framework-mapping-inclusive-education-policies" TargetMode="External"/><Relationship Id="rId47" Type="http://schemas.openxmlformats.org/officeDocument/2006/relationships/hyperlink" Target="https://www.oxfordlearnersdictionaries.com/" TargetMode="External"/><Relationship Id="rId50"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yperlink" Target="https://www.european-agency.org/resources/glossary"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37" Type="http://schemas.openxmlformats.org/officeDocument/2006/relationships/hyperlink" Target="https://www.european-agency.org/sites/default/files/analysis_framework_for_mapping_inclusive_education_policies.pdf" TargetMode="External"/><Relationship Id="rId40" Type="http://schemas.openxmlformats.org/officeDocument/2006/relationships/image" Target="media/image7.emf"/><Relationship Id="rId45" Type="http://schemas.openxmlformats.org/officeDocument/2006/relationships/hyperlink" Target="https://www.cast.org/impact/universal-design-for-learning-udl"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www.oxfordlearnersdictionaries.com/"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hyperlink" Target="https://www.oxfordlearnersdictionaries.com/" TargetMode="External"/><Relationship Id="rId44" Type="http://schemas.openxmlformats.org/officeDocument/2006/relationships/hyperlink" Target="http://www.european-agency.org/projects/organisation-provision-support-inclusive-education/increasing-inclusive-capability/what-restricts-participation-and-learning-all-children-and-young-people-and-what-action-can-b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CROSP" TargetMode="External"/><Relationship Id="rId27" Type="http://schemas.openxmlformats.org/officeDocument/2006/relationships/header" Target="header6.xml"/><Relationship Id="rId30" Type="http://schemas.openxmlformats.org/officeDocument/2006/relationships/hyperlink" Target="http://www.udlcenter.org/aboutudl" TargetMode="External"/><Relationship Id="rId35" Type="http://schemas.openxmlformats.org/officeDocument/2006/relationships/hyperlink" Target="https://www.edglossary.org/professional-learning-community/" TargetMode="External"/><Relationship Id="rId43" Type="http://schemas.openxmlformats.org/officeDocument/2006/relationships/hyperlink" Target="http://www.european-agency.org/resources/publications/key-principles-supporting-policy-development-implementation" TargetMode="External"/><Relationship Id="rId48" Type="http://schemas.openxmlformats.org/officeDocument/2006/relationships/hyperlink" Target="https://en.unesco.org/gem-report/report/2020/inclusion"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5.xml"/><Relationship Id="rId33" Type="http://schemas.openxmlformats.org/officeDocument/2006/relationships/hyperlink" Target="https://www.european-agency.org/sites/default/files/Raising%20Achievement%20Conceptual%20Framework.pdf" TargetMode="External"/><Relationship Id="rId38" Type="http://schemas.openxmlformats.org/officeDocument/2006/relationships/hyperlink" Target="https://unesdoc.unesco.org/ark:/48223/pf0000373718" TargetMode="External"/><Relationship Id="rId46" Type="http://schemas.openxmlformats.org/officeDocument/2006/relationships/hyperlink" Target="https://www.edglossary.org/professional-learning-community/"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sites/default/files/Raising%20Achievement%20Conceptual%20Framework.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1853EF61-E467-4AEF-8B92-6409D9991693}">
  <ds:schemaRefs>
    <ds:schemaRef ds:uri="http://schemas.openxmlformats.org/officeDocument/2006/bibliography"/>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324635bc-db01-4d24-9bfc-ec988f3f2b32"/>
    <ds:schemaRef ds:uri="http://schemas.microsoft.com/sharepoint/v4"/>
  </ds:schemaRefs>
</ds:datastoreItem>
</file>

<file path=customXml/itemProps4.xml><?xml version="1.0" encoding="utf-8"?>
<ds:datastoreItem xmlns:ds="http://schemas.openxmlformats.org/officeDocument/2006/customXml" ds:itemID="{2A645589-30A4-45EE-918A-1B7FFEDCD4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30</Pages>
  <Words>6352</Words>
  <Characters>41164</Characters>
  <Application>Microsoft Office Word</Application>
  <DocSecurity>0</DocSecurity>
  <Lines>1286</Lines>
  <Paragraphs>465</Paragraphs>
  <ScaleCrop>false</ScaleCrop>
  <HeadingPairs>
    <vt:vector size="2" baseType="variant">
      <vt:variant>
        <vt:lpstr>Title</vt:lpstr>
      </vt:variant>
      <vt:variant>
        <vt:i4>1</vt:i4>
      </vt:variant>
    </vt:vector>
  </HeadingPairs>
  <TitlesOfParts>
    <vt:vector size="1" baseType="lpstr">
      <vt:lpstr>Changing Role of Specialist Provision in Supporting Inclusive Education: Policy Self-Review Tool</vt:lpstr>
    </vt:vector>
  </TitlesOfParts>
  <Manager/>
  <Company>European Agency for Special Needs and Inclusive Education</Company>
  <LinksUpToDate>false</LinksUpToDate>
  <CharactersWithSpaces>47051</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L’evoluzione del ruolo delle prestazioni a supporto dell’educazione inclusiva: Strumento di autovalutazione delle politiche</dc:title>
  <dc:subject>Changing Role of Specialist Provision in Supporting Inclusive Education (CROSP)</dc:subject>
  <dc:creator>European Agency for Special Needs and Inclusive Education</dc:creator>
  <cp:keywords>EASNIE</cp:keywords>
  <dc:description/>
  <cp:lastModifiedBy>Rachel Mepsted</cp:lastModifiedBy>
  <cp:revision>29</cp:revision>
  <cp:lastPrinted>2009-05-04T16:34:00Z</cp:lastPrinted>
  <dcterms:created xsi:type="dcterms:W3CDTF">2023-02-15T13:45:00Z</dcterms:created>
  <dcterms:modified xsi:type="dcterms:W3CDTF">2023-02-23T12:00:00Z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