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893AA5" w:rsidRDefault="00AE1692" w:rsidP="00591FE3">
      <w:pPr>
        <w:pStyle w:val="Agency-title"/>
        <w:keepNext w:val="0"/>
        <w:spacing w:before="4000"/>
        <w:rPr>
          <w:rFonts w:cstheme="majorHAnsi"/>
          <w:sz w:val="60"/>
          <w:szCs w:val="60"/>
        </w:rPr>
      </w:pPr>
      <w:r w:rsidRPr="00893AA5">
        <w:rPr>
          <w:rFonts w:cstheme="majorHAnsi"/>
          <w:sz w:val="60"/>
          <w:lang w:bidi="pt-PT"/>
        </w:rPr>
        <w:t>Mudança do papel dos serviços especializados no apoio à educação inclusiva</w:t>
      </w:r>
    </w:p>
    <w:p w14:paraId="35EF330C" w14:textId="6DEC2449" w:rsidR="002E5B99" w:rsidRPr="00893AA5" w:rsidRDefault="00AE1692" w:rsidP="00591FE3">
      <w:pPr>
        <w:spacing w:before="900" w:after="120"/>
        <w:jc w:val="center"/>
        <w:rPr>
          <w:rFonts w:asciiTheme="majorHAnsi" w:hAnsiTheme="majorHAnsi" w:cstheme="majorHAnsi"/>
        </w:rPr>
      </w:pPr>
      <w:r w:rsidRPr="00893AA5">
        <w:rPr>
          <w:rFonts w:asciiTheme="majorHAnsi" w:hAnsiTheme="majorHAnsi" w:cstheme="majorHAnsi"/>
          <w:b/>
          <w:sz w:val="44"/>
          <w:lang w:bidi="pt-PT"/>
        </w:rPr>
        <w:t>Ferramenta de autorrevisão de políticas</w:t>
      </w:r>
    </w:p>
    <w:p w14:paraId="1BBD00FA" w14:textId="2C3338D2" w:rsidR="00A4520C" w:rsidRPr="00893AA5" w:rsidRDefault="00BF13BA" w:rsidP="002012F7">
      <w:pPr>
        <w:pStyle w:val="Agency-body-text"/>
        <w:spacing w:before="5600" w:after="0"/>
        <w:jc w:val="center"/>
        <w:rPr>
          <w:rFonts w:asciiTheme="majorHAnsi" w:hAnsiTheme="majorHAnsi" w:cstheme="majorHAnsi"/>
          <w:b/>
          <w:bCs/>
          <w:sz w:val="28"/>
          <w:szCs w:val="28"/>
        </w:rPr>
      </w:pPr>
      <w:r w:rsidRPr="00893AA5">
        <w:rPr>
          <w:rFonts w:asciiTheme="majorHAnsi" w:hAnsiTheme="majorHAnsi" w:cstheme="majorHAnsi"/>
          <w:b/>
          <w:sz w:val="28"/>
          <w:lang w:bidi="pt-PT"/>
        </w:rPr>
        <w:t xml:space="preserve">Agência </w:t>
      </w:r>
      <w:proofErr w:type="gramStart"/>
      <w:r w:rsidRPr="00893AA5">
        <w:rPr>
          <w:rFonts w:asciiTheme="majorHAnsi" w:hAnsiTheme="majorHAnsi" w:cstheme="majorHAnsi"/>
          <w:b/>
          <w:sz w:val="28"/>
          <w:lang w:bidi="pt-PT"/>
        </w:rPr>
        <w:t>Europeia</w:t>
      </w:r>
      <w:proofErr w:type="gramEnd"/>
      <w:r w:rsidRPr="00893AA5">
        <w:rPr>
          <w:rFonts w:asciiTheme="majorHAnsi" w:hAnsiTheme="majorHAnsi" w:cstheme="majorHAnsi"/>
          <w:b/>
          <w:sz w:val="28"/>
          <w:lang w:bidi="pt-PT"/>
        </w:rPr>
        <w:t xml:space="preserve"> para as Necessidades Especiais e a Educação Inclusiva</w:t>
      </w:r>
      <w:r w:rsidR="009E6E4D" w:rsidRPr="00893AA5">
        <w:rPr>
          <w:rFonts w:asciiTheme="majorHAnsi" w:hAnsiTheme="majorHAnsi" w:cstheme="majorHAnsi"/>
          <w:lang w:bidi="pt-PT"/>
        </w:rPr>
        <w:br w:type="page"/>
      </w:r>
    </w:p>
    <w:p w14:paraId="3CDB30E4" w14:textId="4950679B" w:rsidR="008F777A" w:rsidRPr="00893AA5" w:rsidRDefault="00993A74" w:rsidP="00591FE3">
      <w:pPr>
        <w:spacing w:before="360" w:after="360"/>
        <w:rPr>
          <w:rFonts w:asciiTheme="majorHAnsi" w:hAnsiTheme="majorHAnsi" w:cstheme="majorHAnsi"/>
          <w:color w:val="000000" w:themeColor="text1"/>
          <w:sz w:val="20"/>
        </w:rPr>
        <w:sectPr w:rsidR="008F777A" w:rsidRPr="00893AA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93AA5">
        <w:rPr>
          <w:rFonts w:asciiTheme="majorHAnsi" w:hAnsiTheme="majorHAnsi" w:cstheme="majorHAnsi"/>
          <w:sz w:val="20"/>
          <w:lang w:bidi="pt-PT"/>
        </w:rPr>
        <w:lastRenderedPageBreak/>
        <w:t>A Agência Europeia para as Necessidades Especiais e a Educação Inclusiva (a Agência) é uma organização independente e autónoma. A Agência é cofinanciada pelos Ministérios da Educação dos países membros e pela Comissão Europeia através de uma subvenção de funcionamento no âmbito do programa da União Europeia (UE) no domínio da educação.</w:t>
      </w:r>
    </w:p>
    <w:p w14:paraId="3FEF6BE7" w14:textId="1543B9ED" w:rsidR="00AE0DDC" w:rsidRPr="00893AA5" w:rsidRDefault="00D06009" w:rsidP="00591FE3">
      <w:pPr>
        <w:pStyle w:val="Agency-body-text"/>
        <w:spacing w:before="360" w:after="360"/>
        <w:rPr>
          <w:rFonts w:asciiTheme="majorHAnsi" w:hAnsiTheme="majorHAnsi" w:cstheme="majorHAnsi"/>
          <w:sz w:val="20"/>
        </w:rPr>
      </w:pPr>
      <w:r w:rsidRPr="00505BA1">
        <w:rPr>
          <w:rFonts w:asciiTheme="majorHAnsi" w:hAnsiTheme="majorHAnsi" w:cstheme="majorHAnsi"/>
          <w:noProof/>
          <w:sz w:val="20"/>
          <w:lang w:bidi="pt-PT"/>
        </w:rPr>
        <w:drawing>
          <wp:inline distT="0" distB="0" distL="0" distR="0" wp14:anchorId="17EC6DBF" wp14:editId="7CEBE046">
            <wp:extent cx="1602000" cy="283938"/>
            <wp:effectExtent l="0" t="0" r="0" b="0"/>
            <wp:docPr id="99" name="Picture 99" descr="Logótipo: Emblema da União Europeia e texto: Cofinanciado pela Uniã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ótipo: Emblema da União Europeia e texto: Cofinanciado pela União Europeia"/>
                    <pic:cNvPicPr/>
                  </pic:nvPicPr>
                  <pic:blipFill>
                    <a:blip r:embed="rId15"/>
                    <a:stretch>
                      <a:fillRect/>
                    </a:stretch>
                  </pic:blipFill>
                  <pic:spPr>
                    <a:xfrm>
                      <a:off x="0" y="0"/>
                      <a:ext cx="1602000" cy="283938"/>
                    </a:xfrm>
                    <a:prstGeom prst="rect">
                      <a:avLst/>
                    </a:prstGeom>
                  </pic:spPr>
                </pic:pic>
              </a:graphicData>
            </a:graphic>
          </wp:inline>
        </w:drawing>
      </w:r>
      <w:r w:rsidR="008F777A" w:rsidRPr="00893AA5">
        <w:rPr>
          <w:rFonts w:asciiTheme="majorHAnsi" w:hAnsiTheme="majorHAnsi" w:cstheme="majorHAnsi"/>
          <w:sz w:val="20"/>
          <w:lang w:bidi="pt-PT"/>
        </w:rPr>
        <w:br w:type="column"/>
      </w:r>
      <w:r w:rsidR="006E7573" w:rsidRPr="00893AA5">
        <w:rPr>
          <w:rFonts w:asciiTheme="majorHAnsi" w:hAnsiTheme="majorHAnsi" w:cstheme="majorHAnsi"/>
          <w:sz w:val="20"/>
          <w:lang w:bidi="pt-PT"/>
        </w:rPr>
        <w:t>Financiado pela União Europeia. As perspetivas e opiniões aqui expressadas são apenas as do(s) autor(es), não refletindo necessariamente as perspetivas e opiniões da União Europeia ou da Comissão Europeia. A União Europeia e a Comissão Europeia não podem ser responsabilizadas por elas.</w:t>
      </w:r>
    </w:p>
    <w:p w14:paraId="5F0B44EC" w14:textId="77777777" w:rsidR="008F777A" w:rsidRPr="00893AA5" w:rsidRDefault="008F777A" w:rsidP="00591FE3">
      <w:pPr>
        <w:spacing w:before="360" w:after="360"/>
        <w:ind w:left="2693"/>
        <w:rPr>
          <w:rFonts w:asciiTheme="majorHAnsi" w:hAnsiTheme="majorHAnsi" w:cstheme="majorHAnsi"/>
          <w:sz w:val="20"/>
        </w:rPr>
        <w:sectPr w:rsidR="008F777A" w:rsidRPr="00893AA5"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893AA5" w:rsidRDefault="00A4520C" w:rsidP="00591FE3">
      <w:pPr>
        <w:pStyle w:val="Agency-body-text"/>
        <w:spacing w:after="240"/>
        <w:rPr>
          <w:rFonts w:asciiTheme="majorHAnsi" w:hAnsiTheme="majorHAnsi" w:cstheme="majorHAnsi"/>
          <w:sz w:val="22"/>
          <w:szCs w:val="22"/>
        </w:rPr>
      </w:pPr>
      <w:r w:rsidRPr="00893AA5">
        <w:rPr>
          <w:rFonts w:asciiTheme="majorHAnsi" w:hAnsiTheme="majorHAnsi" w:cstheme="majorHAnsi"/>
          <w:sz w:val="22"/>
          <w:szCs w:val="18"/>
          <w:lang w:bidi="pt-PT"/>
        </w:rPr>
        <w:t>As opiniões expressas neste documento por qualquer indivíduo não representam necessariamente as opiniões oficiais da Agência, dos seus países membros ou da Comissão Europeia.</w:t>
      </w:r>
    </w:p>
    <w:p w14:paraId="54107337" w14:textId="31AA93F1" w:rsidR="00993A74" w:rsidRPr="00505BA1" w:rsidRDefault="00993A74" w:rsidP="00591FE3">
      <w:pPr>
        <w:pStyle w:val="Agency-body-text"/>
        <w:spacing w:before="240" w:after="240"/>
        <w:rPr>
          <w:rFonts w:asciiTheme="majorHAnsi" w:hAnsiTheme="majorHAnsi" w:cstheme="majorHAnsi"/>
          <w:b/>
          <w:sz w:val="22"/>
          <w:szCs w:val="22"/>
        </w:rPr>
      </w:pPr>
      <w:r w:rsidRPr="00505BA1">
        <w:rPr>
          <w:rFonts w:asciiTheme="majorHAnsi" w:hAnsiTheme="majorHAnsi" w:cstheme="majorHAnsi"/>
          <w:sz w:val="22"/>
          <w:szCs w:val="18"/>
          <w:lang w:bidi="pt-PT"/>
        </w:rPr>
        <w:t xml:space="preserve">© </w:t>
      </w:r>
      <w:r w:rsidRPr="00505BA1">
        <w:rPr>
          <w:rFonts w:asciiTheme="majorHAnsi" w:hAnsiTheme="majorHAnsi" w:cstheme="majorHAnsi"/>
          <w:b/>
          <w:sz w:val="22"/>
          <w:szCs w:val="18"/>
          <w:lang w:bidi="pt-PT"/>
        </w:rPr>
        <w:t>European Agency for Special Needs and Inclusive Education 2022</w:t>
      </w:r>
    </w:p>
    <w:p w14:paraId="1620ED22" w14:textId="77FA3FD1" w:rsidR="00A4520C" w:rsidRPr="00505BA1" w:rsidRDefault="00A4520C" w:rsidP="00591FE3">
      <w:pPr>
        <w:pStyle w:val="Agency-body-text"/>
        <w:spacing w:before="240" w:after="240"/>
        <w:rPr>
          <w:rFonts w:asciiTheme="majorHAnsi" w:hAnsiTheme="majorHAnsi" w:cstheme="majorHAnsi"/>
          <w:sz w:val="22"/>
          <w:szCs w:val="22"/>
        </w:rPr>
      </w:pPr>
      <w:r w:rsidRPr="00505BA1">
        <w:rPr>
          <w:rFonts w:asciiTheme="majorHAnsi" w:hAnsiTheme="majorHAnsi" w:cstheme="majorHAnsi"/>
          <w:sz w:val="22"/>
          <w:szCs w:val="18"/>
          <w:lang w:bidi="pt-PT"/>
        </w:rPr>
        <w:t>Editores: Mary Kyriazopoulou, Anthoula Kefallinou, Serge Ebersold, Per Skoglund, Eloy Rebollo Píriz e Mikkel Lučić Wichmann</w:t>
      </w:r>
    </w:p>
    <w:p w14:paraId="0835F743" w14:textId="566F28C4" w:rsidR="00B96828" w:rsidRPr="00893AA5" w:rsidRDefault="00F84141" w:rsidP="00591FE3">
      <w:pPr>
        <w:pStyle w:val="Agency-body-text"/>
        <w:spacing w:before="240" w:after="240"/>
        <w:rPr>
          <w:rFonts w:asciiTheme="majorHAnsi" w:hAnsiTheme="majorHAnsi" w:cstheme="majorHAnsi"/>
          <w:sz w:val="22"/>
          <w:szCs w:val="18"/>
        </w:rPr>
      </w:pPr>
      <w:r w:rsidRPr="00893AA5">
        <w:rPr>
          <w:rFonts w:asciiTheme="majorHAnsi" w:hAnsiTheme="majorHAnsi" w:cstheme="majorHAnsi"/>
          <w:sz w:val="22"/>
          <w:szCs w:val="18"/>
          <w:lang w:bidi="pt-PT"/>
        </w:rPr>
        <w:t xml:space="preserve">Esta publicação é um recurso de fonte aberta. Tal significa que é possível aceder, utilizar, modificar e divulgar a publicação com a devida referência à Agência Europeia para as Necessidades Especiais e a Educação Inclusiva. Consulte a Política de Livre Acesso da Agência para obter mais informações: </w:t>
      </w:r>
      <w:hyperlink r:id="rId16" w:history="1">
        <w:r w:rsidR="00165FE3" w:rsidRPr="00893AA5">
          <w:rPr>
            <w:rStyle w:val="Hyperlink"/>
            <w:rFonts w:asciiTheme="majorHAnsi" w:hAnsiTheme="majorHAnsi" w:cstheme="majorHAnsi"/>
            <w:sz w:val="22"/>
            <w:szCs w:val="18"/>
            <w:lang w:bidi="pt-PT"/>
          </w:rPr>
          <w:t>www.european-agency.org/open-access-policy</w:t>
        </w:r>
      </w:hyperlink>
      <w:r w:rsidRPr="00893AA5">
        <w:rPr>
          <w:rFonts w:asciiTheme="majorHAnsi" w:hAnsiTheme="majorHAnsi" w:cstheme="majorHAnsi"/>
          <w:sz w:val="22"/>
          <w:szCs w:val="18"/>
          <w:lang w:bidi="pt-PT"/>
        </w:rPr>
        <w:t>.</w:t>
      </w:r>
    </w:p>
    <w:p w14:paraId="195B8AE0" w14:textId="36360A99" w:rsidR="00705A86" w:rsidRPr="00893AA5" w:rsidRDefault="00E967BF" w:rsidP="00591FE3">
      <w:pPr>
        <w:pStyle w:val="Agency-body-text"/>
        <w:spacing w:before="240" w:after="240"/>
        <w:rPr>
          <w:rFonts w:asciiTheme="majorHAnsi" w:hAnsiTheme="majorHAnsi" w:cstheme="majorHAnsi"/>
          <w:sz w:val="22"/>
          <w:szCs w:val="18"/>
        </w:rPr>
      </w:pPr>
      <w:r w:rsidRPr="00893AA5">
        <w:rPr>
          <w:rFonts w:asciiTheme="majorHAnsi" w:hAnsiTheme="majorHAnsi" w:cstheme="majorHAnsi"/>
          <w:sz w:val="22"/>
          <w:szCs w:val="18"/>
          <w:lang w:bidi="pt-PT"/>
        </w:rPr>
        <w:t xml:space="preserve">Esta publicação pode ser citada da seguinte forma: Agência Europeia para as Necessidades Especiais e a Educação Inclusiva, 2022. </w:t>
      </w:r>
      <w:r w:rsidRPr="00893AA5">
        <w:rPr>
          <w:rFonts w:asciiTheme="majorHAnsi" w:hAnsiTheme="majorHAnsi" w:cstheme="majorHAnsi"/>
          <w:i/>
          <w:sz w:val="22"/>
          <w:szCs w:val="18"/>
          <w:lang w:bidi="pt-PT"/>
        </w:rPr>
        <w:t>Mudança do papel dos serviços especializados no apoio à educação inclusiva: Ferramenta de autorrevisão de políticas.</w:t>
      </w:r>
      <w:r w:rsidRPr="00893AA5">
        <w:rPr>
          <w:rFonts w:asciiTheme="majorHAnsi" w:hAnsiTheme="majorHAnsi" w:cstheme="majorHAnsi"/>
          <w:sz w:val="22"/>
          <w:szCs w:val="18"/>
          <w:lang w:bidi="pt-PT"/>
        </w:rPr>
        <w:t xml:space="preserve"> (M. Kyriazopoulou, A. Kefallinou, S. Ebersold, P. Skoglund, E. Rebollo Píriz e M. Lučić Wichmann, ed.). Odense, Dinamarca</w:t>
      </w:r>
    </w:p>
    <w:p w14:paraId="67EB7C6E" w14:textId="77777777" w:rsidR="00B96828" w:rsidRPr="00893AA5" w:rsidRDefault="00B96828" w:rsidP="00591FE3">
      <w:pPr>
        <w:spacing w:before="360" w:after="360"/>
        <w:rPr>
          <w:rFonts w:asciiTheme="majorHAnsi" w:hAnsiTheme="majorHAnsi" w:cstheme="majorHAnsi"/>
          <w:szCs w:val="24"/>
        </w:rPr>
        <w:sectPr w:rsidR="00B96828" w:rsidRPr="00893AA5" w:rsidSect="00AE0DDC">
          <w:type w:val="continuous"/>
          <w:pgSz w:w="11899" w:h="16838"/>
          <w:pgMar w:top="1134" w:right="1531" w:bottom="1276" w:left="1531" w:header="709" w:footer="828" w:gutter="0"/>
          <w:cols w:space="708"/>
          <w:titlePg/>
          <w:docGrid w:linePitch="360"/>
        </w:sectPr>
      </w:pPr>
    </w:p>
    <w:p w14:paraId="4674608C" w14:textId="60A662DE" w:rsidR="008E05A8" w:rsidRPr="00893AA5" w:rsidRDefault="007405CA" w:rsidP="00591FE3">
      <w:pPr>
        <w:rPr>
          <w:rFonts w:asciiTheme="majorHAnsi" w:hAnsiTheme="majorHAnsi" w:cstheme="majorHAnsi"/>
          <w:color w:val="000000" w:themeColor="text1"/>
          <w:szCs w:val="24"/>
        </w:rPr>
        <w:sectPr w:rsidR="008E05A8" w:rsidRPr="00893AA5" w:rsidSect="00F87C7F">
          <w:type w:val="continuous"/>
          <w:pgSz w:w="11899" w:h="16838"/>
          <w:pgMar w:top="1134" w:right="1531" w:bottom="1276" w:left="1531" w:header="709" w:footer="828" w:gutter="0"/>
          <w:cols w:num="2" w:space="567" w:equalWidth="0">
            <w:col w:w="1985" w:space="567"/>
            <w:col w:w="6285"/>
          </w:cols>
          <w:titlePg/>
          <w:docGrid w:linePitch="360"/>
        </w:sectPr>
      </w:pPr>
      <w:r w:rsidRPr="00505BA1">
        <w:rPr>
          <w:rFonts w:asciiTheme="majorHAnsi" w:hAnsiTheme="majorHAnsi" w:cstheme="majorHAnsi"/>
          <w:noProof/>
          <w:lang w:eastAsia="el-GR"/>
        </w:rPr>
        <w:drawing>
          <wp:inline distT="0" distB="0" distL="0" distR="0" wp14:anchorId="47A30A7C" wp14:editId="6BB40CCE">
            <wp:extent cx="1260475" cy="452060"/>
            <wp:effectExtent l="0" t="0" r="0" b="5715"/>
            <wp:docPr id="6" name="Picture 6" descr="Logótipo: Licença Creative Commons Atribuição-NãoComercial-CompartilhaIgual 4.0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ótipo: Licença Creative Commons Atribuição-NãoComercial-CompartilhaIgual 4.0 Internac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893AA5">
        <w:rPr>
          <w:rFonts w:asciiTheme="majorHAnsi" w:hAnsiTheme="majorHAnsi" w:cstheme="majorHAnsi"/>
          <w:lang w:bidi="pt-PT"/>
        </w:rPr>
        <w:br w:type="column"/>
      </w:r>
      <w:r w:rsidR="00651FD2" w:rsidRPr="00893AA5">
        <w:rPr>
          <w:rFonts w:asciiTheme="majorHAnsi" w:hAnsiTheme="majorHAnsi" w:cstheme="majorHAnsi"/>
          <w:sz w:val="20"/>
          <w:lang w:bidi="pt-PT"/>
        </w:rPr>
        <w:t xml:space="preserve">Este trabalho está licenciado sob uma </w:t>
      </w:r>
      <w:hyperlink r:id="rId18" w:history="1">
        <w:r w:rsidR="000B35DF" w:rsidRPr="00893AA5">
          <w:rPr>
            <w:rStyle w:val="Hyperlink"/>
            <w:rFonts w:asciiTheme="majorHAnsi" w:hAnsiTheme="majorHAnsi" w:cstheme="majorHAnsi"/>
            <w:sz w:val="20"/>
            <w:lang w:bidi="pt-PT"/>
          </w:rPr>
          <w:t>Licença Creative Commons Atribuição-</w:t>
        </w:r>
        <w:proofErr w:type="spellStart"/>
        <w:r w:rsidR="000B35DF" w:rsidRPr="00893AA5">
          <w:rPr>
            <w:rStyle w:val="Hyperlink"/>
            <w:rFonts w:asciiTheme="majorHAnsi" w:hAnsiTheme="majorHAnsi" w:cstheme="majorHAnsi"/>
            <w:sz w:val="20"/>
            <w:lang w:bidi="pt-PT"/>
          </w:rPr>
          <w:t>NãoComercial</w:t>
        </w:r>
        <w:proofErr w:type="spellEnd"/>
        <w:r w:rsidR="000B35DF" w:rsidRPr="00893AA5">
          <w:rPr>
            <w:rStyle w:val="Hyperlink"/>
            <w:rFonts w:asciiTheme="majorHAnsi" w:hAnsiTheme="majorHAnsi" w:cstheme="majorHAnsi"/>
            <w:sz w:val="20"/>
            <w:lang w:bidi="pt-PT"/>
          </w:rPr>
          <w:t>-CompartilhaIgual 4.0 Internacional</w:t>
        </w:r>
      </w:hyperlink>
      <w:r w:rsidR="000B35DF" w:rsidRPr="00893AA5">
        <w:rPr>
          <w:rFonts w:asciiTheme="majorHAnsi" w:hAnsiTheme="majorHAnsi" w:cstheme="majorHAnsi"/>
          <w:sz w:val="20"/>
          <w:lang w:bidi="pt-PT"/>
        </w:rPr>
        <w:t>. É livre de partilhar e adaptar esta publicação.</w:t>
      </w:r>
    </w:p>
    <w:p w14:paraId="79A8C840" w14:textId="1CDC2AEB" w:rsidR="00B96828" w:rsidRPr="00893AA5" w:rsidRDefault="00B96828" w:rsidP="00591FE3">
      <w:pPr>
        <w:pStyle w:val="Agency-body-text"/>
        <w:spacing w:before="360" w:after="360"/>
        <w:rPr>
          <w:rStyle w:val="Hyperlink"/>
          <w:rFonts w:asciiTheme="majorHAnsi" w:hAnsiTheme="majorHAnsi" w:cstheme="majorHAnsi"/>
          <w:sz w:val="22"/>
          <w:szCs w:val="22"/>
        </w:rPr>
      </w:pPr>
      <w:r w:rsidRPr="00893AA5">
        <w:rPr>
          <w:rFonts w:asciiTheme="majorHAnsi" w:hAnsiTheme="majorHAnsi" w:cstheme="majorHAnsi"/>
          <w:sz w:val="22"/>
          <w:szCs w:val="18"/>
          <w:lang w:bidi="pt-PT"/>
        </w:rPr>
        <w:t xml:space="preserve">Tendo em vista uma maior acessibilidade, este relatório está disponível em 25 línguas e em formato eletrónico acessível no Web site da Agência: </w:t>
      </w:r>
      <w:hyperlink r:id="rId19" w:history="1">
        <w:r w:rsidRPr="00893AA5">
          <w:rPr>
            <w:rStyle w:val="Hyperlink"/>
            <w:rFonts w:asciiTheme="majorHAnsi" w:hAnsiTheme="majorHAnsi" w:cstheme="majorHAnsi"/>
            <w:sz w:val="22"/>
            <w:szCs w:val="18"/>
            <w:lang w:bidi="pt-PT"/>
          </w:rPr>
          <w:t>www.european-agency.org</w:t>
        </w:r>
      </w:hyperlink>
    </w:p>
    <w:p w14:paraId="456741C0" w14:textId="051748F5" w:rsidR="0087477E" w:rsidRPr="00893AA5" w:rsidRDefault="0087477E" w:rsidP="00591FE3">
      <w:pPr>
        <w:pStyle w:val="Agency-body-text"/>
        <w:spacing w:before="240" w:after="240"/>
        <w:rPr>
          <w:rFonts w:asciiTheme="majorHAnsi" w:hAnsiTheme="majorHAnsi" w:cstheme="majorHAnsi"/>
          <w:sz w:val="22"/>
          <w:szCs w:val="18"/>
        </w:rPr>
      </w:pPr>
      <w:r w:rsidRPr="00893AA5">
        <w:rPr>
          <w:rFonts w:asciiTheme="majorHAnsi" w:hAnsiTheme="majorHAnsi" w:cstheme="majorHAnsi"/>
          <w:sz w:val="22"/>
          <w:szCs w:val="18"/>
          <w:lang w:bidi="pt-PT"/>
        </w:rPr>
        <w:t>Esta é uma tradução de um texto original em inglês. Em caso de dúvida sobre a exatidão da informação no texto traduzido, consulte o texto inglês original.</w:t>
      </w:r>
    </w:p>
    <w:p w14:paraId="5B1746F2" w14:textId="4034DB24" w:rsidR="00B96828" w:rsidRPr="00893AA5" w:rsidRDefault="00B96828" w:rsidP="00591FE3">
      <w:pPr>
        <w:tabs>
          <w:tab w:val="left" w:pos="4680"/>
        </w:tabs>
        <w:spacing w:before="480" w:after="480"/>
        <w:rPr>
          <w:rFonts w:asciiTheme="majorHAnsi" w:hAnsiTheme="majorHAnsi" w:cstheme="majorHAnsi"/>
          <w:b/>
          <w:sz w:val="22"/>
          <w:szCs w:val="22"/>
        </w:rPr>
      </w:pPr>
      <w:r w:rsidRPr="00893AA5">
        <w:rPr>
          <w:rFonts w:asciiTheme="majorHAnsi" w:hAnsiTheme="majorHAnsi" w:cstheme="majorHAnsi"/>
          <w:sz w:val="22"/>
          <w:szCs w:val="18"/>
          <w:lang w:bidi="pt-PT"/>
        </w:rPr>
        <w:t xml:space="preserve">ISBN: </w:t>
      </w:r>
      <w:r w:rsidR="00F22BD9" w:rsidRPr="00505BA1">
        <w:rPr>
          <w:rFonts w:asciiTheme="majorHAnsi" w:hAnsiTheme="majorHAnsi" w:cstheme="majorHAnsi"/>
          <w:sz w:val="22"/>
          <w:szCs w:val="18"/>
          <w:lang w:bidi="pt-PT"/>
        </w:rPr>
        <w:t>978-87-7599-051-1</w:t>
      </w:r>
      <w:r w:rsidR="00F22BD9" w:rsidRPr="00893AA5">
        <w:rPr>
          <w:rFonts w:asciiTheme="majorHAnsi" w:hAnsiTheme="majorHAnsi" w:cstheme="majorHAnsi"/>
          <w:sz w:val="22"/>
          <w:szCs w:val="18"/>
          <w:lang w:bidi="pt-PT"/>
        </w:rPr>
        <w:t xml:space="preserve"> </w:t>
      </w:r>
      <w:r w:rsidRPr="00893AA5">
        <w:rPr>
          <w:rFonts w:asciiTheme="majorHAnsi" w:hAnsiTheme="majorHAnsi" w:cstheme="majorHAnsi"/>
          <w:sz w:val="22"/>
          <w:szCs w:val="18"/>
          <w:lang w:bidi="pt-PT"/>
        </w:rPr>
        <w:t>(ed. eletrónica)</w:t>
      </w:r>
    </w:p>
    <w:p w14:paraId="270989F5" w14:textId="77777777" w:rsidR="00B96828" w:rsidRPr="00893AA5" w:rsidRDefault="00B96828" w:rsidP="00591FE3">
      <w:pPr>
        <w:spacing w:before="240" w:after="240"/>
        <w:jc w:val="center"/>
        <w:rPr>
          <w:rFonts w:asciiTheme="majorHAnsi" w:hAnsiTheme="majorHAnsi" w:cstheme="majorHAnsi"/>
          <w:b/>
          <w:szCs w:val="24"/>
        </w:rPr>
        <w:sectPr w:rsidR="00B96828" w:rsidRPr="00893AA5" w:rsidSect="00AE0DDC">
          <w:type w:val="continuous"/>
          <w:pgSz w:w="11899" w:h="16838"/>
          <w:pgMar w:top="1134" w:right="1531" w:bottom="1276" w:left="1531" w:header="709" w:footer="828" w:gutter="0"/>
          <w:cols w:space="708"/>
          <w:titlePg/>
          <w:docGrid w:linePitch="360"/>
        </w:sectPr>
      </w:pPr>
    </w:p>
    <w:p w14:paraId="33FE3FE4" w14:textId="77777777" w:rsidR="00AE0DDC" w:rsidRPr="00893AA5" w:rsidRDefault="00765778" w:rsidP="00591FE3">
      <w:pPr>
        <w:pStyle w:val="Agency-body-text"/>
        <w:spacing w:before="40" w:after="40"/>
        <w:rPr>
          <w:rFonts w:asciiTheme="majorHAnsi" w:hAnsiTheme="majorHAnsi" w:cstheme="majorHAnsi"/>
          <w:b/>
          <w:bCs/>
          <w:szCs w:val="24"/>
        </w:rPr>
      </w:pPr>
      <w:r w:rsidRPr="00893AA5">
        <w:rPr>
          <w:rFonts w:asciiTheme="majorHAnsi" w:hAnsiTheme="majorHAnsi" w:cstheme="majorHAnsi"/>
          <w:b/>
          <w:lang w:bidi="pt-PT"/>
        </w:rPr>
        <w:t>Secretariado</w:t>
      </w:r>
    </w:p>
    <w:p w14:paraId="3BE5D709"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Østre Stationsvej 33</w:t>
      </w:r>
    </w:p>
    <w:p w14:paraId="7B773980"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DK-5000 Odense C Denmark</w:t>
      </w:r>
    </w:p>
    <w:p w14:paraId="27E5DD69"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Tel.: +45 64 41 00 20</w:t>
      </w:r>
    </w:p>
    <w:p w14:paraId="386BCD00" w14:textId="77777777" w:rsidR="00077E1F" w:rsidRPr="00893AA5" w:rsidRDefault="000D7C21" w:rsidP="00591FE3">
      <w:pPr>
        <w:pStyle w:val="Agency-body-text"/>
        <w:spacing w:before="40" w:after="40"/>
        <w:rPr>
          <w:rStyle w:val="Hyperlink"/>
          <w:rFonts w:asciiTheme="majorHAnsi" w:hAnsiTheme="majorHAnsi" w:cstheme="majorHAnsi"/>
        </w:rPr>
      </w:pPr>
      <w:hyperlink r:id="rId20" w:history="1">
        <w:r w:rsidR="00765778" w:rsidRPr="00893AA5">
          <w:rPr>
            <w:rStyle w:val="Hyperlink"/>
            <w:rFonts w:asciiTheme="majorHAnsi" w:hAnsiTheme="majorHAnsi" w:cstheme="majorHAnsi"/>
            <w:lang w:bidi="pt-PT"/>
          </w:rPr>
          <w:t>secretariat@european-agency.org</w:t>
        </w:r>
      </w:hyperlink>
    </w:p>
    <w:p w14:paraId="1AA45A42" w14:textId="77777777" w:rsidR="00765778" w:rsidRPr="00893AA5" w:rsidRDefault="00077E1F" w:rsidP="00591FE3">
      <w:pPr>
        <w:pStyle w:val="Agency-body-text"/>
        <w:spacing w:before="40" w:after="40"/>
        <w:rPr>
          <w:rFonts w:asciiTheme="majorHAnsi" w:hAnsiTheme="majorHAnsi" w:cstheme="majorHAnsi"/>
          <w:b/>
          <w:bCs/>
          <w:szCs w:val="24"/>
        </w:rPr>
      </w:pPr>
      <w:r w:rsidRPr="00893AA5">
        <w:rPr>
          <w:rStyle w:val="Hyperlink"/>
          <w:rFonts w:asciiTheme="majorHAnsi" w:hAnsiTheme="majorHAnsi" w:cstheme="majorHAnsi"/>
          <w:lang w:bidi="pt-PT"/>
        </w:rPr>
        <w:br w:type="column"/>
      </w:r>
      <w:r w:rsidR="00765778" w:rsidRPr="00893AA5">
        <w:rPr>
          <w:rFonts w:asciiTheme="majorHAnsi" w:hAnsiTheme="majorHAnsi" w:cstheme="majorHAnsi"/>
          <w:b/>
          <w:lang w:bidi="pt-PT"/>
        </w:rPr>
        <w:t>Delegação em Bruxelas</w:t>
      </w:r>
    </w:p>
    <w:p w14:paraId="2E2766FA"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Rue Montoyer, 21</w:t>
      </w:r>
    </w:p>
    <w:p w14:paraId="38A645DC"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BE-1000 Brussels Belgium</w:t>
      </w:r>
    </w:p>
    <w:p w14:paraId="5DD2D5DF" w14:textId="77777777" w:rsidR="00765778" w:rsidRPr="00893AA5" w:rsidRDefault="00765778" w:rsidP="00591FE3">
      <w:pPr>
        <w:pStyle w:val="Agency-body-text"/>
        <w:spacing w:before="40" w:after="40"/>
        <w:rPr>
          <w:rFonts w:asciiTheme="majorHAnsi" w:hAnsiTheme="majorHAnsi" w:cstheme="majorHAnsi"/>
          <w:szCs w:val="24"/>
        </w:rPr>
      </w:pPr>
      <w:r w:rsidRPr="00893AA5">
        <w:rPr>
          <w:rFonts w:asciiTheme="majorHAnsi" w:hAnsiTheme="majorHAnsi" w:cstheme="majorHAnsi"/>
          <w:lang w:bidi="pt-PT"/>
        </w:rPr>
        <w:t>Tel.: +32 2 213 62 80</w:t>
      </w:r>
    </w:p>
    <w:p w14:paraId="7C63BAC1" w14:textId="77777777" w:rsidR="00765778" w:rsidRPr="00893AA5" w:rsidRDefault="000D7C21" w:rsidP="00591FE3">
      <w:pPr>
        <w:pStyle w:val="Agency-body-text"/>
        <w:spacing w:before="40" w:after="40"/>
        <w:rPr>
          <w:rStyle w:val="Hyperlink"/>
          <w:rFonts w:asciiTheme="majorHAnsi" w:hAnsiTheme="majorHAnsi" w:cstheme="majorHAnsi"/>
        </w:rPr>
      </w:pPr>
      <w:hyperlink r:id="rId21" w:history="1">
        <w:r w:rsidR="00765778" w:rsidRPr="00893AA5">
          <w:rPr>
            <w:rStyle w:val="Hyperlink"/>
            <w:rFonts w:asciiTheme="majorHAnsi" w:hAnsiTheme="majorHAnsi" w:cstheme="majorHAnsi"/>
            <w:lang w:bidi="pt-PT"/>
          </w:rPr>
          <w:t>brussels.office@european-agency.org</w:t>
        </w:r>
      </w:hyperlink>
    </w:p>
    <w:p w14:paraId="190069CA" w14:textId="77777777" w:rsidR="00765778" w:rsidRPr="00893AA5" w:rsidRDefault="00765778" w:rsidP="00591FE3">
      <w:pPr>
        <w:spacing w:before="360"/>
        <w:jc w:val="center"/>
        <w:rPr>
          <w:rFonts w:asciiTheme="majorHAnsi" w:hAnsiTheme="majorHAnsi" w:cstheme="majorHAnsi"/>
          <w:sz w:val="20"/>
        </w:rPr>
        <w:sectPr w:rsidR="00765778" w:rsidRPr="00893AA5" w:rsidSect="00077E1F">
          <w:type w:val="continuous"/>
          <w:pgSz w:w="11899" w:h="16838"/>
          <w:pgMar w:top="1134" w:right="1531" w:bottom="1276" w:left="1531" w:header="709" w:footer="828" w:gutter="0"/>
          <w:cols w:num="2" w:space="567"/>
          <w:titlePg/>
          <w:docGrid w:linePitch="360"/>
        </w:sectPr>
      </w:pPr>
    </w:p>
    <w:p w14:paraId="3FE71E9C" w14:textId="77777777" w:rsidR="00A4520C" w:rsidRPr="00893AA5" w:rsidRDefault="00A4520C" w:rsidP="00591FE3">
      <w:pPr>
        <w:pStyle w:val="Agency-body-text"/>
        <w:spacing w:before="0" w:after="0"/>
        <w:rPr>
          <w:rFonts w:asciiTheme="majorHAnsi" w:hAnsiTheme="majorHAnsi" w:cstheme="majorHAnsi"/>
        </w:rPr>
      </w:pPr>
      <w:r w:rsidRPr="00893AA5">
        <w:rPr>
          <w:rFonts w:asciiTheme="majorHAnsi" w:hAnsiTheme="majorHAnsi" w:cstheme="majorHAnsi"/>
          <w:lang w:bidi="pt-PT"/>
        </w:rPr>
        <w:br w:type="page"/>
      </w:r>
    </w:p>
    <w:p w14:paraId="208E114D" w14:textId="77777777" w:rsidR="00DB7AB3" w:rsidRPr="00893AA5"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893AA5">
        <w:rPr>
          <w:rFonts w:asciiTheme="majorHAnsi" w:hAnsiTheme="majorHAnsi" w:cstheme="majorHAnsi"/>
          <w:b/>
          <w:sz w:val="40"/>
          <w:lang w:bidi="pt-PT"/>
        </w:rPr>
        <w:lastRenderedPageBreak/>
        <w:t>ÍNDICE</w:t>
      </w:r>
    </w:p>
    <w:p w14:paraId="68F21763" w14:textId="5521A2CD" w:rsidR="00B868DC"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893AA5">
        <w:rPr>
          <w:rFonts w:asciiTheme="majorHAnsi" w:hAnsiTheme="majorHAnsi" w:cstheme="majorHAnsi"/>
          <w:i/>
          <w:lang w:bidi="pt-PT"/>
        </w:rPr>
        <w:fldChar w:fldCharType="begin"/>
      </w:r>
      <w:r w:rsidRPr="00893AA5">
        <w:rPr>
          <w:rFonts w:asciiTheme="majorHAnsi" w:hAnsiTheme="majorHAnsi" w:cstheme="majorHAnsi"/>
          <w:i/>
          <w:lang w:bidi="pt-PT"/>
        </w:rPr>
        <w:instrText xml:space="preserve"> TOC \h \z \t "Heading 1,1,Heading 2,2,Agency-heading-1,1,Agency-heading-2,2" </w:instrText>
      </w:r>
      <w:r w:rsidRPr="00893AA5">
        <w:rPr>
          <w:rFonts w:asciiTheme="majorHAnsi" w:hAnsiTheme="majorHAnsi" w:cstheme="majorHAnsi"/>
          <w:i/>
          <w:lang w:bidi="pt-PT"/>
        </w:rPr>
        <w:fldChar w:fldCharType="separate"/>
      </w:r>
      <w:hyperlink w:anchor="_Toc128142422" w:history="1">
        <w:r w:rsidR="00B868DC" w:rsidRPr="00D03EA7">
          <w:rPr>
            <w:rStyle w:val="Hyperlink"/>
            <w:rFonts w:asciiTheme="majorHAnsi" w:hAnsiTheme="majorHAnsi" w:cstheme="majorHAnsi"/>
            <w:noProof/>
            <w:lang w:bidi="pt-PT"/>
          </w:rPr>
          <w:t>Introdução</w:t>
        </w:r>
        <w:r w:rsidR="00B868DC">
          <w:rPr>
            <w:noProof/>
            <w:webHidden/>
          </w:rPr>
          <w:tab/>
        </w:r>
        <w:r w:rsidR="00B868DC">
          <w:rPr>
            <w:noProof/>
            <w:webHidden/>
          </w:rPr>
          <w:fldChar w:fldCharType="begin"/>
        </w:r>
        <w:r w:rsidR="00B868DC">
          <w:rPr>
            <w:noProof/>
            <w:webHidden/>
          </w:rPr>
          <w:instrText xml:space="preserve"> PAGEREF _Toc128142422 \h </w:instrText>
        </w:r>
        <w:r w:rsidR="00B868DC">
          <w:rPr>
            <w:noProof/>
            <w:webHidden/>
          </w:rPr>
        </w:r>
        <w:r w:rsidR="00B868DC">
          <w:rPr>
            <w:noProof/>
            <w:webHidden/>
          </w:rPr>
          <w:fldChar w:fldCharType="separate"/>
        </w:r>
        <w:r w:rsidR="00B868DC">
          <w:rPr>
            <w:noProof/>
            <w:webHidden/>
          </w:rPr>
          <w:t>5</w:t>
        </w:r>
        <w:r w:rsidR="00B868DC">
          <w:rPr>
            <w:noProof/>
            <w:webHidden/>
          </w:rPr>
          <w:fldChar w:fldCharType="end"/>
        </w:r>
      </w:hyperlink>
    </w:p>
    <w:p w14:paraId="2A780F00" w14:textId="7A501516"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23" w:history="1">
        <w:r w:rsidRPr="00D03EA7">
          <w:rPr>
            <w:rStyle w:val="Hyperlink"/>
            <w:rFonts w:asciiTheme="majorHAnsi" w:hAnsiTheme="majorHAnsi" w:cstheme="majorHAnsi"/>
            <w:noProof/>
            <w:lang w:bidi="pt-PT"/>
          </w:rPr>
          <w:t>O objetivo da ferramenta</w:t>
        </w:r>
        <w:r>
          <w:rPr>
            <w:noProof/>
            <w:webHidden/>
          </w:rPr>
          <w:tab/>
        </w:r>
        <w:r>
          <w:rPr>
            <w:noProof/>
            <w:webHidden/>
          </w:rPr>
          <w:fldChar w:fldCharType="begin"/>
        </w:r>
        <w:r>
          <w:rPr>
            <w:noProof/>
            <w:webHidden/>
          </w:rPr>
          <w:instrText xml:space="preserve"> PAGEREF _Toc128142423 \h </w:instrText>
        </w:r>
        <w:r>
          <w:rPr>
            <w:noProof/>
            <w:webHidden/>
          </w:rPr>
        </w:r>
        <w:r>
          <w:rPr>
            <w:noProof/>
            <w:webHidden/>
          </w:rPr>
          <w:fldChar w:fldCharType="separate"/>
        </w:r>
        <w:r>
          <w:rPr>
            <w:noProof/>
            <w:webHidden/>
          </w:rPr>
          <w:t>5</w:t>
        </w:r>
        <w:r>
          <w:rPr>
            <w:noProof/>
            <w:webHidden/>
          </w:rPr>
          <w:fldChar w:fldCharType="end"/>
        </w:r>
      </w:hyperlink>
    </w:p>
    <w:p w14:paraId="5AE44B44" w14:textId="305CCAF3"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24" w:history="1">
        <w:r w:rsidRPr="00D03EA7">
          <w:rPr>
            <w:rStyle w:val="Hyperlink"/>
            <w:rFonts w:asciiTheme="majorHAnsi" w:hAnsiTheme="majorHAnsi" w:cstheme="majorHAnsi"/>
            <w:noProof/>
            <w:lang w:bidi="pt-PT"/>
          </w:rPr>
          <w:t>Como usar a ferramenta</w:t>
        </w:r>
        <w:r>
          <w:rPr>
            <w:noProof/>
            <w:webHidden/>
          </w:rPr>
          <w:tab/>
        </w:r>
        <w:r>
          <w:rPr>
            <w:noProof/>
            <w:webHidden/>
          </w:rPr>
          <w:fldChar w:fldCharType="begin"/>
        </w:r>
        <w:r>
          <w:rPr>
            <w:noProof/>
            <w:webHidden/>
          </w:rPr>
          <w:instrText xml:space="preserve"> PAGEREF _Toc128142424 \h </w:instrText>
        </w:r>
        <w:r>
          <w:rPr>
            <w:noProof/>
            <w:webHidden/>
          </w:rPr>
        </w:r>
        <w:r>
          <w:rPr>
            <w:noProof/>
            <w:webHidden/>
          </w:rPr>
          <w:fldChar w:fldCharType="separate"/>
        </w:r>
        <w:r>
          <w:rPr>
            <w:noProof/>
            <w:webHidden/>
          </w:rPr>
          <w:t>6</w:t>
        </w:r>
        <w:r>
          <w:rPr>
            <w:noProof/>
            <w:webHidden/>
          </w:rPr>
          <w:fldChar w:fldCharType="end"/>
        </w:r>
      </w:hyperlink>
    </w:p>
    <w:p w14:paraId="0328487F" w14:textId="786F9AAC"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25" w:history="1">
        <w:r w:rsidRPr="00D03EA7">
          <w:rPr>
            <w:rStyle w:val="Hyperlink"/>
            <w:rFonts w:asciiTheme="majorHAnsi" w:hAnsiTheme="majorHAnsi" w:cstheme="majorHAnsi"/>
            <w:noProof/>
            <w:lang w:bidi="pt-PT"/>
          </w:rPr>
          <w:t>Preparativos</w:t>
        </w:r>
        <w:r>
          <w:rPr>
            <w:noProof/>
            <w:webHidden/>
          </w:rPr>
          <w:tab/>
        </w:r>
        <w:r>
          <w:rPr>
            <w:noProof/>
            <w:webHidden/>
          </w:rPr>
          <w:fldChar w:fldCharType="begin"/>
        </w:r>
        <w:r>
          <w:rPr>
            <w:noProof/>
            <w:webHidden/>
          </w:rPr>
          <w:instrText xml:space="preserve"> PAGEREF _Toc128142425 \h </w:instrText>
        </w:r>
        <w:r>
          <w:rPr>
            <w:noProof/>
            <w:webHidden/>
          </w:rPr>
        </w:r>
        <w:r>
          <w:rPr>
            <w:noProof/>
            <w:webHidden/>
          </w:rPr>
          <w:fldChar w:fldCharType="separate"/>
        </w:r>
        <w:r>
          <w:rPr>
            <w:noProof/>
            <w:webHidden/>
          </w:rPr>
          <w:t>6</w:t>
        </w:r>
        <w:r>
          <w:rPr>
            <w:noProof/>
            <w:webHidden/>
          </w:rPr>
          <w:fldChar w:fldCharType="end"/>
        </w:r>
      </w:hyperlink>
    </w:p>
    <w:p w14:paraId="3B71ECFB" w14:textId="0922868C"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26" w:history="1">
        <w:r w:rsidRPr="00D03EA7">
          <w:rPr>
            <w:rStyle w:val="Hyperlink"/>
            <w:rFonts w:asciiTheme="majorHAnsi" w:hAnsiTheme="majorHAnsi" w:cstheme="majorHAnsi"/>
            <w:noProof/>
            <w:lang w:bidi="pt-PT"/>
          </w:rPr>
          <w:t>Completar a ferramenta</w:t>
        </w:r>
        <w:r>
          <w:rPr>
            <w:noProof/>
            <w:webHidden/>
          </w:rPr>
          <w:tab/>
        </w:r>
        <w:r>
          <w:rPr>
            <w:noProof/>
            <w:webHidden/>
          </w:rPr>
          <w:fldChar w:fldCharType="begin"/>
        </w:r>
        <w:r>
          <w:rPr>
            <w:noProof/>
            <w:webHidden/>
          </w:rPr>
          <w:instrText xml:space="preserve"> PAGEREF _Toc128142426 \h </w:instrText>
        </w:r>
        <w:r>
          <w:rPr>
            <w:noProof/>
            <w:webHidden/>
          </w:rPr>
        </w:r>
        <w:r>
          <w:rPr>
            <w:noProof/>
            <w:webHidden/>
          </w:rPr>
          <w:fldChar w:fldCharType="separate"/>
        </w:r>
        <w:r>
          <w:rPr>
            <w:noProof/>
            <w:webHidden/>
          </w:rPr>
          <w:t>6</w:t>
        </w:r>
        <w:r>
          <w:rPr>
            <w:noProof/>
            <w:webHidden/>
          </w:rPr>
          <w:fldChar w:fldCharType="end"/>
        </w:r>
      </w:hyperlink>
    </w:p>
    <w:p w14:paraId="1C9D1F8C" w14:textId="6F4822D8"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27" w:history="1">
        <w:r w:rsidRPr="00D03EA7">
          <w:rPr>
            <w:rStyle w:val="Hyperlink"/>
            <w:rFonts w:asciiTheme="majorHAnsi" w:hAnsiTheme="majorHAnsi" w:cstheme="majorHAnsi"/>
            <w:noProof/>
            <w:lang w:bidi="pt-PT"/>
          </w:rPr>
          <w:t>Refletir sobre as respostas</w:t>
        </w:r>
        <w:r>
          <w:rPr>
            <w:noProof/>
            <w:webHidden/>
          </w:rPr>
          <w:tab/>
        </w:r>
        <w:r>
          <w:rPr>
            <w:noProof/>
            <w:webHidden/>
          </w:rPr>
          <w:fldChar w:fldCharType="begin"/>
        </w:r>
        <w:r>
          <w:rPr>
            <w:noProof/>
            <w:webHidden/>
          </w:rPr>
          <w:instrText xml:space="preserve"> PAGEREF _Toc128142427 \h </w:instrText>
        </w:r>
        <w:r>
          <w:rPr>
            <w:noProof/>
            <w:webHidden/>
          </w:rPr>
        </w:r>
        <w:r>
          <w:rPr>
            <w:noProof/>
            <w:webHidden/>
          </w:rPr>
          <w:fldChar w:fldCharType="separate"/>
        </w:r>
        <w:r>
          <w:rPr>
            <w:noProof/>
            <w:webHidden/>
          </w:rPr>
          <w:t>7</w:t>
        </w:r>
        <w:r>
          <w:rPr>
            <w:noProof/>
            <w:webHidden/>
          </w:rPr>
          <w:fldChar w:fldCharType="end"/>
        </w:r>
      </w:hyperlink>
    </w:p>
    <w:p w14:paraId="52CFF77A" w14:textId="6BB60D03"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28" w:history="1">
        <w:r w:rsidRPr="00D03EA7">
          <w:rPr>
            <w:rStyle w:val="Hyperlink"/>
            <w:rFonts w:asciiTheme="majorHAnsi" w:hAnsiTheme="majorHAnsi" w:cstheme="majorHAnsi"/>
            <w:noProof/>
            <w:lang w:bidi="pt-PT"/>
          </w:rPr>
          <w:t>Ferramenta de autorrevisão de políticas CROSP</w:t>
        </w:r>
        <w:r>
          <w:rPr>
            <w:noProof/>
            <w:webHidden/>
          </w:rPr>
          <w:tab/>
        </w:r>
        <w:r>
          <w:rPr>
            <w:noProof/>
            <w:webHidden/>
          </w:rPr>
          <w:fldChar w:fldCharType="begin"/>
        </w:r>
        <w:r>
          <w:rPr>
            <w:noProof/>
            <w:webHidden/>
          </w:rPr>
          <w:instrText xml:space="preserve"> PAGEREF _Toc128142428 \h </w:instrText>
        </w:r>
        <w:r>
          <w:rPr>
            <w:noProof/>
            <w:webHidden/>
          </w:rPr>
        </w:r>
        <w:r>
          <w:rPr>
            <w:noProof/>
            <w:webHidden/>
          </w:rPr>
          <w:fldChar w:fldCharType="separate"/>
        </w:r>
        <w:r>
          <w:rPr>
            <w:noProof/>
            <w:webHidden/>
          </w:rPr>
          <w:t>8</w:t>
        </w:r>
        <w:r>
          <w:rPr>
            <w:noProof/>
            <w:webHidden/>
          </w:rPr>
          <w:fldChar w:fldCharType="end"/>
        </w:r>
      </w:hyperlink>
    </w:p>
    <w:p w14:paraId="0F55F750" w14:textId="0FDE27AE"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29" w:history="1">
        <w:r w:rsidRPr="00D03EA7">
          <w:rPr>
            <w:rStyle w:val="Hyperlink"/>
            <w:rFonts w:asciiTheme="majorHAnsi" w:hAnsiTheme="majorHAnsi" w:cstheme="majorHAnsi"/>
            <w:noProof/>
            <w:lang w:bidi="pt-PT"/>
          </w:rPr>
          <w:t>Princípio orientador 1: Desenvolver um compromisso comum para a educação inclusiva</w:t>
        </w:r>
        <w:r>
          <w:rPr>
            <w:noProof/>
            <w:webHidden/>
          </w:rPr>
          <w:tab/>
        </w:r>
        <w:r>
          <w:rPr>
            <w:noProof/>
            <w:webHidden/>
          </w:rPr>
          <w:fldChar w:fldCharType="begin"/>
        </w:r>
        <w:r>
          <w:rPr>
            <w:noProof/>
            <w:webHidden/>
          </w:rPr>
          <w:instrText xml:space="preserve"> PAGEREF _Toc128142429 \h </w:instrText>
        </w:r>
        <w:r>
          <w:rPr>
            <w:noProof/>
            <w:webHidden/>
          </w:rPr>
        </w:r>
        <w:r>
          <w:rPr>
            <w:noProof/>
            <w:webHidden/>
          </w:rPr>
          <w:fldChar w:fldCharType="separate"/>
        </w:r>
        <w:r>
          <w:rPr>
            <w:noProof/>
            <w:webHidden/>
          </w:rPr>
          <w:t>8</w:t>
        </w:r>
        <w:r>
          <w:rPr>
            <w:noProof/>
            <w:webHidden/>
          </w:rPr>
          <w:fldChar w:fldCharType="end"/>
        </w:r>
      </w:hyperlink>
    </w:p>
    <w:p w14:paraId="6FFD726E" w14:textId="63D9345A"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0" w:history="1">
        <w:r w:rsidRPr="00D03EA7">
          <w:rPr>
            <w:rStyle w:val="Hyperlink"/>
            <w:rFonts w:asciiTheme="majorHAnsi" w:hAnsiTheme="majorHAnsi" w:cstheme="majorHAnsi"/>
            <w:noProof/>
            <w:lang w:bidi="pt-PT"/>
          </w:rPr>
          <w:t>Princípio orientador 2: Promover a troca de conhecimentos e adquirir competências inclusivas através da cooperação e do trabalho em rede</w:t>
        </w:r>
        <w:r>
          <w:rPr>
            <w:noProof/>
            <w:webHidden/>
          </w:rPr>
          <w:tab/>
        </w:r>
        <w:r>
          <w:rPr>
            <w:noProof/>
            <w:webHidden/>
          </w:rPr>
          <w:fldChar w:fldCharType="begin"/>
        </w:r>
        <w:r>
          <w:rPr>
            <w:noProof/>
            <w:webHidden/>
          </w:rPr>
          <w:instrText xml:space="preserve"> PAGEREF _Toc128142430 \h </w:instrText>
        </w:r>
        <w:r>
          <w:rPr>
            <w:noProof/>
            <w:webHidden/>
          </w:rPr>
        </w:r>
        <w:r>
          <w:rPr>
            <w:noProof/>
            <w:webHidden/>
          </w:rPr>
          <w:fldChar w:fldCharType="separate"/>
        </w:r>
        <w:r>
          <w:rPr>
            <w:noProof/>
            <w:webHidden/>
          </w:rPr>
          <w:t>10</w:t>
        </w:r>
        <w:r>
          <w:rPr>
            <w:noProof/>
            <w:webHidden/>
          </w:rPr>
          <w:fldChar w:fldCharType="end"/>
        </w:r>
      </w:hyperlink>
    </w:p>
    <w:p w14:paraId="691BD2E8" w14:textId="0904BFD0"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1" w:history="1">
        <w:r w:rsidRPr="00D03EA7">
          <w:rPr>
            <w:rStyle w:val="Hyperlink"/>
            <w:rFonts w:asciiTheme="majorHAnsi" w:hAnsiTheme="majorHAnsi" w:cstheme="majorHAnsi"/>
            <w:noProof/>
            <w:lang w:bidi="pt-PT"/>
          </w:rPr>
          <w:t>Princípio orientador 3: Facultar formação profissional contínua sobre inclusão</w:t>
        </w:r>
        <w:r>
          <w:rPr>
            <w:noProof/>
            <w:webHidden/>
          </w:rPr>
          <w:tab/>
        </w:r>
        <w:r>
          <w:rPr>
            <w:noProof/>
            <w:webHidden/>
          </w:rPr>
          <w:fldChar w:fldCharType="begin"/>
        </w:r>
        <w:r>
          <w:rPr>
            <w:noProof/>
            <w:webHidden/>
          </w:rPr>
          <w:instrText xml:space="preserve"> PAGEREF _Toc128142431 \h </w:instrText>
        </w:r>
        <w:r>
          <w:rPr>
            <w:noProof/>
            <w:webHidden/>
          </w:rPr>
        </w:r>
        <w:r>
          <w:rPr>
            <w:noProof/>
            <w:webHidden/>
          </w:rPr>
          <w:fldChar w:fldCharType="separate"/>
        </w:r>
        <w:r>
          <w:rPr>
            <w:noProof/>
            <w:webHidden/>
          </w:rPr>
          <w:t>12</w:t>
        </w:r>
        <w:r>
          <w:rPr>
            <w:noProof/>
            <w:webHidden/>
          </w:rPr>
          <w:fldChar w:fldCharType="end"/>
        </w:r>
      </w:hyperlink>
    </w:p>
    <w:p w14:paraId="6B76EC50" w14:textId="491F957B"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2" w:history="1">
        <w:r w:rsidRPr="00D03EA7">
          <w:rPr>
            <w:rStyle w:val="Hyperlink"/>
            <w:rFonts w:asciiTheme="majorHAnsi" w:hAnsiTheme="majorHAnsi" w:cstheme="majorHAnsi"/>
            <w:noProof/>
            <w:lang w:bidi="pt-PT"/>
          </w:rPr>
          <w:t>Princípio orientador 4: Apoio à liderança e gestão da escola inclusiva</w:t>
        </w:r>
        <w:r>
          <w:rPr>
            <w:noProof/>
            <w:webHidden/>
          </w:rPr>
          <w:tab/>
        </w:r>
        <w:r>
          <w:rPr>
            <w:noProof/>
            <w:webHidden/>
          </w:rPr>
          <w:fldChar w:fldCharType="begin"/>
        </w:r>
        <w:r>
          <w:rPr>
            <w:noProof/>
            <w:webHidden/>
          </w:rPr>
          <w:instrText xml:space="preserve"> PAGEREF _Toc128142432 \h </w:instrText>
        </w:r>
        <w:r>
          <w:rPr>
            <w:noProof/>
            <w:webHidden/>
          </w:rPr>
        </w:r>
        <w:r>
          <w:rPr>
            <w:noProof/>
            <w:webHidden/>
          </w:rPr>
          <w:fldChar w:fldCharType="separate"/>
        </w:r>
        <w:r>
          <w:rPr>
            <w:noProof/>
            <w:webHidden/>
          </w:rPr>
          <w:t>14</w:t>
        </w:r>
        <w:r>
          <w:rPr>
            <w:noProof/>
            <w:webHidden/>
          </w:rPr>
          <w:fldChar w:fldCharType="end"/>
        </w:r>
      </w:hyperlink>
    </w:p>
    <w:p w14:paraId="4C54B7B1" w14:textId="1D856FCC"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3" w:history="1">
        <w:r w:rsidRPr="00D03EA7">
          <w:rPr>
            <w:rStyle w:val="Hyperlink"/>
            <w:rFonts w:asciiTheme="majorHAnsi" w:hAnsiTheme="majorHAnsi" w:cstheme="majorHAnsi"/>
            <w:noProof/>
            <w:lang w:bidi="pt-PT"/>
          </w:rPr>
          <w:t>Princípio orientador 5: Incentivar o envolvimento ativo das partes interessadas</w:t>
        </w:r>
        <w:r>
          <w:rPr>
            <w:noProof/>
            <w:webHidden/>
          </w:rPr>
          <w:tab/>
        </w:r>
        <w:r>
          <w:rPr>
            <w:noProof/>
            <w:webHidden/>
          </w:rPr>
          <w:fldChar w:fldCharType="begin"/>
        </w:r>
        <w:r>
          <w:rPr>
            <w:noProof/>
            <w:webHidden/>
          </w:rPr>
          <w:instrText xml:space="preserve"> PAGEREF _Toc128142433 \h </w:instrText>
        </w:r>
        <w:r>
          <w:rPr>
            <w:noProof/>
            <w:webHidden/>
          </w:rPr>
        </w:r>
        <w:r>
          <w:rPr>
            <w:noProof/>
            <w:webHidden/>
          </w:rPr>
          <w:fldChar w:fldCharType="separate"/>
        </w:r>
        <w:r>
          <w:rPr>
            <w:noProof/>
            <w:webHidden/>
          </w:rPr>
          <w:t>16</w:t>
        </w:r>
        <w:r>
          <w:rPr>
            <w:noProof/>
            <w:webHidden/>
          </w:rPr>
          <w:fldChar w:fldCharType="end"/>
        </w:r>
      </w:hyperlink>
    </w:p>
    <w:p w14:paraId="6917DA3D" w14:textId="3A56316E"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4" w:history="1">
        <w:r w:rsidRPr="00D03EA7">
          <w:rPr>
            <w:rStyle w:val="Hyperlink"/>
            <w:rFonts w:asciiTheme="majorHAnsi" w:hAnsiTheme="majorHAnsi" w:cstheme="majorHAnsi"/>
            <w:noProof/>
            <w:lang w:bidi="pt-PT"/>
          </w:rPr>
          <w:t>Princípio orientador 6: Promover a monitorização e a avaliação contínuas</w:t>
        </w:r>
        <w:r>
          <w:rPr>
            <w:noProof/>
            <w:webHidden/>
          </w:rPr>
          <w:tab/>
        </w:r>
        <w:r>
          <w:rPr>
            <w:noProof/>
            <w:webHidden/>
          </w:rPr>
          <w:fldChar w:fldCharType="begin"/>
        </w:r>
        <w:r>
          <w:rPr>
            <w:noProof/>
            <w:webHidden/>
          </w:rPr>
          <w:instrText xml:space="preserve"> PAGEREF _Toc128142434 \h </w:instrText>
        </w:r>
        <w:r>
          <w:rPr>
            <w:noProof/>
            <w:webHidden/>
          </w:rPr>
        </w:r>
        <w:r>
          <w:rPr>
            <w:noProof/>
            <w:webHidden/>
          </w:rPr>
          <w:fldChar w:fldCharType="separate"/>
        </w:r>
        <w:r>
          <w:rPr>
            <w:noProof/>
            <w:webHidden/>
          </w:rPr>
          <w:t>18</w:t>
        </w:r>
        <w:r>
          <w:rPr>
            <w:noProof/>
            <w:webHidden/>
          </w:rPr>
          <w:fldChar w:fldCharType="end"/>
        </w:r>
      </w:hyperlink>
    </w:p>
    <w:p w14:paraId="531C474D" w14:textId="031C7EB4"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35" w:history="1">
        <w:r w:rsidRPr="00D03EA7">
          <w:rPr>
            <w:rStyle w:val="Hyperlink"/>
            <w:rFonts w:asciiTheme="majorHAnsi" w:hAnsiTheme="majorHAnsi" w:cstheme="majorHAnsi"/>
            <w:noProof/>
            <w:lang w:bidi="pt-PT"/>
          </w:rPr>
          <w:t>Anexo 1: Glossário de termos</w:t>
        </w:r>
        <w:r>
          <w:rPr>
            <w:noProof/>
            <w:webHidden/>
          </w:rPr>
          <w:tab/>
        </w:r>
        <w:r>
          <w:rPr>
            <w:noProof/>
            <w:webHidden/>
          </w:rPr>
          <w:fldChar w:fldCharType="begin"/>
        </w:r>
        <w:r>
          <w:rPr>
            <w:noProof/>
            <w:webHidden/>
          </w:rPr>
          <w:instrText xml:space="preserve"> PAGEREF _Toc128142435 \h </w:instrText>
        </w:r>
        <w:r>
          <w:rPr>
            <w:noProof/>
            <w:webHidden/>
          </w:rPr>
        </w:r>
        <w:r>
          <w:rPr>
            <w:noProof/>
            <w:webHidden/>
          </w:rPr>
          <w:fldChar w:fldCharType="separate"/>
        </w:r>
        <w:r>
          <w:rPr>
            <w:noProof/>
            <w:webHidden/>
          </w:rPr>
          <w:t>21</w:t>
        </w:r>
        <w:r>
          <w:rPr>
            <w:noProof/>
            <w:webHidden/>
          </w:rPr>
          <w:fldChar w:fldCharType="end"/>
        </w:r>
      </w:hyperlink>
    </w:p>
    <w:p w14:paraId="7EE83973" w14:textId="00338A82"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36" w:history="1">
        <w:r w:rsidRPr="00D03EA7">
          <w:rPr>
            <w:rStyle w:val="Hyperlink"/>
            <w:rFonts w:asciiTheme="majorHAnsi" w:hAnsiTheme="majorHAnsi" w:cstheme="majorHAnsi"/>
            <w:noProof/>
            <w:lang w:bidi="pt-PT"/>
          </w:rPr>
          <w:t>Anexo 2: A estrutura da ferramenta</w:t>
        </w:r>
        <w:r>
          <w:rPr>
            <w:noProof/>
            <w:webHidden/>
          </w:rPr>
          <w:tab/>
        </w:r>
        <w:r>
          <w:rPr>
            <w:noProof/>
            <w:webHidden/>
          </w:rPr>
          <w:fldChar w:fldCharType="begin"/>
        </w:r>
        <w:r>
          <w:rPr>
            <w:noProof/>
            <w:webHidden/>
          </w:rPr>
          <w:instrText xml:space="preserve"> PAGEREF _Toc128142436 \h </w:instrText>
        </w:r>
        <w:r>
          <w:rPr>
            <w:noProof/>
            <w:webHidden/>
          </w:rPr>
        </w:r>
        <w:r>
          <w:rPr>
            <w:noProof/>
            <w:webHidden/>
          </w:rPr>
          <w:fldChar w:fldCharType="separate"/>
        </w:r>
        <w:r>
          <w:rPr>
            <w:noProof/>
            <w:webHidden/>
          </w:rPr>
          <w:t>25</w:t>
        </w:r>
        <w:r>
          <w:rPr>
            <w:noProof/>
            <w:webHidden/>
          </w:rPr>
          <w:fldChar w:fldCharType="end"/>
        </w:r>
      </w:hyperlink>
    </w:p>
    <w:p w14:paraId="2DF0E0DF" w14:textId="5346546B"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7" w:history="1">
        <w:r w:rsidRPr="00D03EA7">
          <w:rPr>
            <w:rStyle w:val="Hyperlink"/>
            <w:rFonts w:asciiTheme="majorHAnsi" w:hAnsiTheme="majorHAnsi" w:cstheme="majorHAnsi"/>
            <w:noProof/>
            <w:lang w:bidi="pt-PT"/>
          </w:rPr>
          <w:t>Princípios orientadores</w:t>
        </w:r>
        <w:r>
          <w:rPr>
            <w:noProof/>
            <w:webHidden/>
          </w:rPr>
          <w:tab/>
        </w:r>
        <w:r>
          <w:rPr>
            <w:noProof/>
            <w:webHidden/>
          </w:rPr>
          <w:fldChar w:fldCharType="begin"/>
        </w:r>
        <w:r>
          <w:rPr>
            <w:noProof/>
            <w:webHidden/>
          </w:rPr>
          <w:instrText xml:space="preserve"> PAGEREF _Toc128142437 \h </w:instrText>
        </w:r>
        <w:r>
          <w:rPr>
            <w:noProof/>
            <w:webHidden/>
          </w:rPr>
        </w:r>
        <w:r>
          <w:rPr>
            <w:noProof/>
            <w:webHidden/>
          </w:rPr>
          <w:fldChar w:fldCharType="separate"/>
        </w:r>
        <w:r>
          <w:rPr>
            <w:noProof/>
            <w:webHidden/>
          </w:rPr>
          <w:t>25</w:t>
        </w:r>
        <w:r>
          <w:rPr>
            <w:noProof/>
            <w:webHidden/>
          </w:rPr>
          <w:fldChar w:fldCharType="end"/>
        </w:r>
      </w:hyperlink>
    </w:p>
    <w:p w14:paraId="0CEF9AAA" w14:textId="6C5650DF"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8" w:history="1">
        <w:r w:rsidRPr="00D03EA7">
          <w:rPr>
            <w:rStyle w:val="Hyperlink"/>
            <w:rFonts w:asciiTheme="majorHAnsi" w:hAnsiTheme="majorHAnsi" w:cstheme="majorHAnsi"/>
            <w:noProof/>
            <w:lang w:bidi="pt-PT"/>
          </w:rPr>
          <w:t>Prioridades e estratégias políticas</w:t>
        </w:r>
        <w:r>
          <w:rPr>
            <w:noProof/>
            <w:webHidden/>
          </w:rPr>
          <w:tab/>
        </w:r>
        <w:r>
          <w:rPr>
            <w:noProof/>
            <w:webHidden/>
          </w:rPr>
          <w:fldChar w:fldCharType="begin"/>
        </w:r>
        <w:r>
          <w:rPr>
            <w:noProof/>
            <w:webHidden/>
          </w:rPr>
          <w:instrText xml:space="preserve"> PAGEREF _Toc128142438 \h </w:instrText>
        </w:r>
        <w:r>
          <w:rPr>
            <w:noProof/>
            <w:webHidden/>
          </w:rPr>
        </w:r>
        <w:r>
          <w:rPr>
            <w:noProof/>
            <w:webHidden/>
          </w:rPr>
          <w:fldChar w:fldCharType="separate"/>
        </w:r>
        <w:r>
          <w:rPr>
            <w:noProof/>
            <w:webHidden/>
          </w:rPr>
          <w:t>26</w:t>
        </w:r>
        <w:r>
          <w:rPr>
            <w:noProof/>
            <w:webHidden/>
          </w:rPr>
          <w:fldChar w:fldCharType="end"/>
        </w:r>
      </w:hyperlink>
    </w:p>
    <w:p w14:paraId="5F0D2274" w14:textId="77B3BE38" w:rsidR="00B868DC" w:rsidRDefault="00B868DC">
      <w:pPr>
        <w:pStyle w:val="TOC2"/>
        <w:tabs>
          <w:tab w:val="right" w:leader="underscore" w:pos="8827"/>
        </w:tabs>
        <w:rPr>
          <w:rFonts w:asciiTheme="minorHAnsi" w:eastAsiaTheme="minorEastAsia" w:hAnsiTheme="minorHAnsi" w:cstheme="minorBidi"/>
          <w:noProof/>
          <w:szCs w:val="24"/>
          <w:lang w:val="en-IE" w:eastAsia="en-GB"/>
        </w:rPr>
      </w:pPr>
      <w:hyperlink w:anchor="_Toc128142439" w:history="1">
        <w:r w:rsidRPr="00D03EA7">
          <w:rPr>
            <w:rStyle w:val="Hyperlink"/>
            <w:rFonts w:asciiTheme="majorHAnsi" w:hAnsiTheme="majorHAnsi" w:cstheme="majorHAnsi"/>
            <w:noProof/>
            <w:lang w:bidi="pt-PT"/>
          </w:rPr>
          <w:t>Ações-chave</w:t>
        </w:r>
        <w:r>
          <w:rPr>
            <w:noProof/>
            <w:webHidden/>
          </w:rPr>
          <w:tab/>
        </w:r>
        <w:r>
          <w:rPr>
            <w:noProof/>
            <w:webHidden/>
          </w:rPr>
          <w:fldChar w:fldCharType="begin"/>
        </w:r>
        <w:r>
          <w:rPr>
            <w:noProof/>
            <w:webHidden/>
          </w:rPr>
          <w:instrText xml:space="preserve"> PAGEREF _Toc128142439 \h </w:instrText>
        </w:r>
        <w:r>
          <w:rPr>
            <w:noProof/>
            <w:webHidden/>
          </w:rPr>
        </w:r>
        <w:r>
          <w:rPr>
            <w:noProof/>
            <w:webHidden/>
          </w:rPr>
          <w:fldChar w:fldCharType="separate"/>
        </w:r>
        <w:r>
          <w:rPr>
            <w:noProof/>
            <w:webHidden/>
          </w:rPr>
          <w:t>26</w:t>
        </w:r>
        <w:r>
          <w:rPr>
            <w:noProof/>
            <w:webHidden/>
          </w:rPr>
          <w:fldChar w:fldCharType="end"/>
        </w:r>
      </w:hyperlink>
    </w:p>
    <w:p w14:paraId="15EFACE9" w14:textId="33854DC3"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40" w:history="1">
        <w:r w:rsidRPr="00D03EA7">
          <w:rPr>
            <w:rStyle w:val="Hyperlink"/>
            <w:rFonts w:asciiTheme="majorHAnsi" w:hAnsiTheme="majorHAnsi" w:cstheme="majorHAnsi"/>
            <w:noProof/>
            <w:lang w:bidi="pt-PT"/>
          </w:rPr>
          <w:t>Anexo 3: Validação da ferramenta de autorrevisão a nível nacional</w:t>
        </w:r>
        <w:r>
          <w:rPr>
            <w:noProof/>
            <w:webHidden/>
          </w:rPr>
          <w:tab/>
        </w:r>
        <w:r>
          <w:rPr>
            <w:noProof/>
            <w:webHidden/>
          </w:rPr>
          <w:fldChar w:fldCharType="begin"/>
        </w:r>
        <w:r>
          <w:rPr>
            <w:noProof/>
            <w:webHidden/>
          </w:rPr>
          <w:instrText xml:space="preserve"> PAGEREF _Toc128142440 \h </w:instrText>
        </w:r>
        <w:r>
          <w:rPr>
            <w:noProof/>
            <w:webHidden/>
          </w:rPr>
        </w:r>
        <w:r>
          <w:rPr>
            <w:noProof/>
            <w:webHidden/>
          </w:rPr>
          <w:fldChar w:fldCharType="separate"/>
        </w:r>
        <w:r>
          <w:rPr>
            <w:noProof/>
            <w:webHidden/>
          </w:rPr>
          <w:t>28</w:t>
        </w:r>
        <w:r>
          <w:rPr>
            <w:noProof/>
            <w:webHidden/>
          </w:rPr>
          <w:fldChar w:fldCharType="end"/>
        </w:r>
      </w:hyperlink>
    </w:p>
    <w:p w14:paraId="26C92849" w14:textId="2CB8A2EC" w:rsidR="00B868DC" w:rsidRDefault="00B868DC">
      <w:pPr>
        <w:pStyle w:val="TOC1"/>
        <w:tabs>
          <w:tab w:val="right" w:leader="underscore" w:pos="8827"/>
        </w:tabs>
        <w:rPr>
          <w:rFonts w:asciiTheme="minorHAnsi" w:eastAsiaTheme="minorEastAsia" w:hAnsiTheme="minorHAnsi" w:cstheme="minorBidi"/>
          <w:b w:val="0"/>
          <w:caps w:val="0"/>
          <w:noProof/>
          <w:lang w:val="en-IE" w:eastAsia="en-GB"/>
        </w:rPr>
      </w:pPr>
      <w:hyperlink w:anchor="_Toc128142441" w:history="1">
        <w:r w:rsidRPr="00D03EA7">
          <w:rPr>
            <w:rStyle w:val="Hyperlink"/>
            <w:rFonts w:asciiTheme="majorHAnsi" w:hAnsiTheme="majorHAnsi" w:cstheme="majorHAnsi"/>
            <w:noProof/>
            <w:lang w:bidi="pt-PT"/>
          </w:rPr>
          <w:t>Referências</w:t>
        </w:r>
        <w:r>
          <w:rPr>
            <w:noProof/>
            <w:webHidden/>
          </w:rPr>
          <w:tab/>
        </w:r>
        <w:r>
          <w:rPr>
            <w:noProof/>
            <w:webHidden/>
          </w:rPr>
          <w:fldChar w:fldCharType="begin"/>
        </w:r>
        <w:r>
          <w:rPr>
            <w:noProof/>
            <w:webHidden/>
          </w:rPr>
          <w:instrText xml:space="preserve"> PAGEREF _Toc128142441 \h </w:instrText>
        </w:r>
        <w:r>
          <w:rPr>
            <w:noProof/>
            <w:webHidden/>
          </w:rPr>
        </w:r>
        <w:r>
          <w:rPr>
            <w:noProof/>
            <w:webHidden/>
          </w:rPr>
          <w:fldChar w:fldCharType="separate"/>
        </w:r>
        <w:r>
          <w:rPr>
            <w:noProof/>
            <w:webHidden/>
          </w:rPr>
          <w:t>29</w:t>
        </w:r>
        <w:r>
          <w:rPr>
            <w:noProof/>
            <w:webHidden/>
          </w:rPr>
          <w:fldChar w:fldCharType="end"/>
        </w:r>
      </w:hyperlink>
    </w:p>
    <w:p w14:paraId="53C33446" w14:textId="2A1BF0D2" w:rsidR="001A3B70" w:rsidRPr="00893AA5" w:rsidRDefault="00D22260" w:rsidP="00591FE3">
      <w:pPr>
        <w:pStyle w:val="Agency-body-text"/>
        <w:rPr>
          <w:rFonts w:asciiTheme="majorHAnsi" w:hAnsiTheme="majorHAnsi" w:cstheme="majorHAnsi"/>
          <w:iCs/>
        </w:rPr>
      </w:pPr>
      <w:r w:rsidRPr="00893AA5">
        <w:rPr>
          <w:rFonts w:asciiTheme="majorHAnsi" w:hAnsiTheme="majorHAnsi" w:cstheme="majorHAnsi"/>
          <w:i/>
          <w:lang w:bidi="pt-PT"/>
        </w:rPr>
        <w:fldChar w:fldCharType="end"/>
      </w:r>
    </w:p>
    <w:p w14:paraId="02B945B0" w14:textId="77777777" w:rsidR="001A3B70" w:rsidRPr="00893AA5" w:rsidRDefault="001A3B70" w:rsidP="00591FE3">
      <w:pPr>
        <w:pStyle w:val="Agency-body-text"/>
        <w:rPr>
          <w:rFonts w:asciiTheme="majorHAnsi" w:hAnsiTheme="majorHAnsi" w:cstheme="majorHAnsi"/>
          <w:iCs/>
        </w:rPr>
        <w:sectPr w:rsidR="001A3B70" w:rsidRPr="00893AA5" w:rsidSect="00AE0DDC">
          <w:type w:val="continuous"/>
          <w:pgSz w:w="11899" w:h="16838"/>
          <w:pgMar w:top="1134" w:right="1531" w:bottom="1276" w:left="1531" w:header="709" w:footer="828" w:gutter="0"/>
          <w:cols w:space="708"/>
          <w:titlePg/>
          <w:docGrid w:linePitch="360"/>
        </w:sectPr>
      </w:pPr>
    </w:p>
    <w:p w14:paraId="18B325C4" w14:textId="77777777" w:rsidR="008B36F5" w:rsidRPr="00893AA5" w:rsidRDefault="008B36F5" w:rsidP="00591FE3">
      <w:pPr>
        <w:pStyle w:val="Agency-body-text"/>
        <w:rPr>
          <w:rFonts w:asciiTheme="majorHAnsi" w:hAnsiTheme="majorHAnsi" w:cstheme="majorHAnsi"/>
        </w:rPr>
      </w:pPr>
      <w:r w:rsidRPr="00893AA5">
        <w:rPr>
          <w:rFonts w:asciiTheme="majorHAnsi" w:hAnsiTheme="majorHAnsi" w:cstheme="majorHAnsi"/>
          <w:lang w:bidi="pt-PT"/>
        </w:rPr>
        <w:lastRenderedPageBreak/>
        <w:br w:type="page"/>
      </w:r>
    </w:p>
    <w:p w14:paraId="0554919A" w14:textId="557171B4" w:rsidR="00B84EAB" w:rsidRPr="00893AA5" w:rsidRDefault="00B84EAB" w:rsidP="00591FE3">
      <w:pPr>
        <w:pStyle w:val="Agency-heading-1"/>
        <w:rPr>
          <w:rFonts w:asciiTheme="majorHAnsi" w:hAnsiTheme="majorHAnsi" w:cstheme="majorHAnsi"/>
        </w:rPr>
      </w:pPr>
      <w:bookmarkStart w:id="0" w:name="_Toc128142422"/>
      <w:r w:rsidRPr="00893AA5">
        <w:rPr>
          <w:rFonts w:asciiTheme="majorHAnsi" w:hAnsiTheme="majorHAnsi" w:cstheme="majorHAnsi"/>
          <w:lang w:bidi="pt-PT"/>
        </w:rPr>
        <w:lastRenderedPageBreak/>
        <w:t>Introdução</w:t>
      </w:r>
      <w:bookmarkEnd w:id="0"/>
    </w:p>
    <w:p w14:paraId="34354436" w14:textId="2FED5E86" w:rsidR="00AC0A3B" w:rsidRPr="00893AA5" w:rsidRDefault="00AC0A3B" w:rsidP="00591FE3">
      <w:pPr>
        <w:pStyle w:val="Agency-body-text"/>
        <w:rPr>
          <w:rFonts w:asciiTheme="majorHAnsi" w:hAnsiTheme="majorHAnsi" w:cstheme="majorHAnsi"/>
        </w:rPr>
      </w:pPr>
      <w:r w:rsidRPr="00893AA5">
        <w:rPr>
          <w:rFonts w:asciiTheme="majorHAnsi" w:hAnsiTheme="majorHAnsi" w:cstheme="majorHAnsi"/>
          <w:lang w:bidi="pt-PT"/>
        </w:rPr>
        <w:t xml:space="preserve">O projeto </w:t>
      </w:r>
      <w:hyperlink r:id="rId22" w:history="1">
        <w:r w:rsidRPr="00893AA5">
          <w:rPr>
            <w:rStyle w:val="Hyperlink"/>
            <w:rFonts w:asciiTheme="majorHAnsi" w:hAnsiTheme="majorHAnsi" w:cstheme="majorHAnsi"/>
            <w:lang w:bidi="pt-PT"/>
          </w:rPr>
          <w:t>Mudança do papel dos serviços especializados no apoio à educação inclusiva</w:t>
        </w:r>
      </w:hyperlink>
      <w:r w:rsidRPr="00893AA5">
        <w:rPr>
          <w:rFonts w:asciiTheme="majorHAnsi" w:hAnsiTheme="majorHAnsi" w:cstheme="majorHAnsi"/>
          <w:lang w:bidi="pt-PT"/>
        </w:rPr>
        <w:t xml:space="preserve"> (CROSP), realizado pela Agência Europeia para as Necessidades Especiais e a Educação Inclusiva (a Agência), focou-se na reorganização dos serviços especializados para apoiar o direito à educação inclusiva para todos os alunos. O projeto destinava-se a identificar e analisar desafios e oportunidades na política e prática nacionais que influenciam a reorganização e reforma dos serviços especializados com vista a uma educação inclusiva para todos os alunos.</w:t>
      </w:r>
    </w:p>
    <w:p w14:paraId="16D495BA" w14:textId="5872A38B" w:rsidR="00AC0A3B" w:rsidRPr="00893AA5" w:rsidRDefault="00AC0A3B" w:rsidP="00591FE3">
      <w:pPr>
        <w:pStyle w:val="Agency-body-text"/>
        <w:rPr>
          <w:rFonts w:asciiTheme="majorHAnsi" w:hAnsiTheme="majorHAnsi" w:cstheme="majorHAnsi"/>
        </w:rPr>
      </w:pPr>
      <w:r w:rsidRPr="00893AA5">
        <w:rPr>
          <w:rFonts w:asciiTheme="majorHAnsi" w:hAnsiTheme="majorHAnsi" w:cstheme="majorHAnsi"/>
          <w:lang w:bidi="pt-PT"/>
        </w:rPr>
        <w:t xml:space="preserve">Utilizando uma abordagem de aprendizagem entre pares, 18 países membros da Agência participaram em </w:t>
      </w:r>
      <w:r w:rsidRPr="00893AA5">
        <w:rPr>
          <w:rFonts w:asciiTheme="majorHAnsi" w:hAnsiTheme="majorHAnsi" w:cstheme="majorHAnsi"/>
          <w:i/>
          <w:lang w:bidi="pt-PT"/>
        </w:rPr>
        <w:t>workshops</w:t>
      </w:r>
      <w:r w:rsidRPr="00893AA5">
        <w:rPr>
          <w:rFonts w:asciiTheme="majorHAnsi" w:hAnsiTheme="majorHAnsi" w:cstheme="majorHAnsi"/>
          <w:lang w:bidi="pt-PT"/>
        </w:rPr>
        <w:t xml:space="preserve"> temáticos e trocaram experiências e pontos de vista sobre o tema. As conclusões dos </w:t>
      </w:r>
      <w:r w:rsidRPr="00893AA5">
        <w:rPr>
          <w:rFonts w:asciiTheme="majorHAnsi" w:hAnsiTheme="majorHAnsi" w:cstheme="majorHAnsi"/>
          <w:i/>
          <w:lang w:bidi="pt-PT"/>
        </w:rPr>
        <w:t>workshops</w:t>
      </w:r>
      <w:r w:rsidRPr="00893AA5">
        <w:rPr>
          <w:rFonts w:asciiTheme="majorHAnsi" w:hAnsiTheme="majorHAnsi" w:cstheme="majorHAnsi"/>
          <w:lang w:bidi="pt-PT"/>
        </w:rPr>
        <w:t xml:space="preserve"> temáticos revelaram seis princípios orientadores mutuamente complementares que sustentam a reorientação do papel dos serviços especializados para apoiar a educação inclusiva.</w:t>
      </w:r>
    </w:p>
    <w:p w14:paraId="58FDD457" w14:textId="6C7EDAF6" w:rsidR="00EF75CD" w:rsidRPr="00893AA5" w:rsidRDefault="00AC0A3B" w:rsidP="00591FE3">
      <w:pPr>
        <w:pStyle w:val="Agency-body-text"/>
        <w:rPr>
          <w:rFonts w:asciiTheme="majorHAnsi" w:hAnsiTheme="majorHAnsi" w:cstheme="majorHAnsi"/>
        </w:rPr>
      </w:pPr>
      <w:r w:rsidRPr="00893AA5">
        <w:rPr>
          <w:rFonts w:asciiTheme="majorHAnsi" w:hAnsiTheme="majorHAnsi" w:cstheme="majorHAnsi"/>
          <w:lang w:bidi="pt-PT"/>
        </w:rPr>
        <w:t xml:space="preserve">Cada princípio orientador está ligado a diversas prioridades e estratégias políticas que os países identificaram como práticas eficazes durante os </w:t>
      </w:r>
      <w:r w:rsidRPr="00893AA5">
        <w:rPr>
          <w:rFonts w:asciiTheme="majorHAnsi" w:hAnsiTheme="majorHAnsi" w:cstheme="majorHAnsi"/>
          <w:i/>
          <w:lang w:bidi="pt-PT"/>
        </w:rPr>
        <w:t>workshops</w:t>
      </w:r>
      <w:r w:rsidRPr="00893AA5">
        <w:rPr>
          <w:rFonts w:asciiTheme="majorHAnsi" w:hAnsiTheme="majorHAnsi" w:cstheme="majorHAnsi"/>
          <w:lang w:bidi="pt-PT"/>
        </w:rPr>
        <w:t>. Por sua vez, cada prioridade e estratégia política pode ser dividida em ações-chave, como exemplos de implementação eficaz das políticas e estratégias associadas.</w:t>
      </w:r>
    </w:p>
    <w:p w14:paraId="4FEB624E" w14:textId="7BA09CB5" w:rsidR="00AC0A3B" w:rsidRPr="00893AA5" w:rsidRDefault="00AC0A3B" w:rsidP="00591FE3">
      <w:pPr>
        <w:pStyle w:val="Agency-body-text"/>
        <w:rPr>
          <w:rFonts w:asciiTheme="majorHAnsi" w:hAnsiTheme="majorHAnsi" w:cstheme="majorHAnsi"/>
        </w:rPr>
      </w:pPr>
      <w:r w:rsidRPr="00893AA5">
        <w:rPr>
          <w:rFonts w:asciiTheme="majorHAnsi" w:hAnsiTheme="majorHAnsi" w:cstheme="majorHAnsi"/>
          <w:lang w:bidi="pt-PT"/>
        </w:rPr>
        <w:t xml:space="preserve">Este processo de análise foi a base para o desenvolvimento de um </w:t>
      </w:r>
      <w:r w:rsidRPr="00893AA5">
        <w:rPr>
          <w:rFonts w:asciiTheme="majorHAnsi" w:hAnsiTheme="majorHAnsi" w:cstheme="majorHAnsi"/>
          <w:b/>
          <w:lang w:bidi="pt-PT"/>
        </w:rPr>
        <w:t>roteiro para a mudança do papel dos serviços especializados</w:t>
      </w:r>
      <w:r w:rsidRPr="00893AA5">
        <w:rPr>
          <w:rFonts w:asciiTheme="majorHAnsi" w:hAnsiTheme="majorHAnsi" w:cstheme="majorHAnsi"/>
          <w:lang w:bidi="pt-PT"/>
        </w:rPr>
        <w:t>. No geral, este roteiro liga os 6 princípios orientadores a 17 prioridades e estratégias políticas, juntamente com alguns exemplos de passos ou marcos para uma implementação efetiva (Agência Europeia, 2022).</w:t>
      </w:r>
    </w:p>
    <w:p w14:paraId="18B09ABF" w14:textId="5B661627" w:rsidR="00B84EAB" w:rsidRPr="00893AA5" w:rsidRDefault="00AC0A3B" w:rsidP="00591FE3">
      <w:pPr>
        <w:pStyle w:val="Agency-body-text"/>
        <w:rPr>
          <w:rFonts w:asciiTheme="majorHAnsi" w:hAnsiTheme="majorHAnsi" w:cstheme="majorHAnsi"/>
        </w:rPr>
      </w:pPr>
      <w:r w:rsidRPr="00893AA5">
        <w:rPr>
          <w:rFonts w:asciiTheme="majorHAnsi" w:hAnsiTheme="majorHAnsi" w:cstheme="majorHAnsi"/>
          <w:lang w:bidi="pt-PT"/>
        </w:rPr>
        <w:t>A ferramenta de autorrevisão do CROSP inclui todos os princípios orientadores, prioridades/estratégias políticas e ações-chave indicativas sob a forma de perguntas autorreflexivas.</w:t>
      </w:r>
    </w:p>
    <w:p w14:paraId="499839E1" w14:textId="5BEF45C6" w:rsidR="00776FBF" w:rsidRPr="00893AA5" w:rsidRDefault="00776FBF" w:rsidP="00591FE3">
      <w:pPr>
        <w:pStyle w:val="Agency-heading-1"/>
        <w:rPr>
          <w:rFonts w:asciiTheme="majorHAnsi" w:hAnsiTheme="majorHAnsi" w:cstheme="majorHAnsi"/>
        </w:rPr>
      </w:pPr>
      <w:bookmarkStart w:id="1" w:name="_Toc128142423"/>
      <w:r w:rsidRPr="00893AA5">
        <w:rPr>
          <w:rFonts w:asciiTheme="majorHAnsi" w:hAnsiTheme="majorHAnsi" w:cstheme="majorHAnsi"/>
          <w:lang w:bidi="pt-PT"/>
        </w:rPr>
        <w:t>O objetivo da ferramenta</w:t>
      </w:r>
      <w:bookmarkEnd w:id="1"/>
    </w:p>
    <w:p w14:paraId="6FF14693" w14:textId="46FE1153" w:rsidR="00776FBF"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 xml:space="preserve">O objetivo geral da ferramenta CROSP é melhorar o desenvolvimento de sistemas de educação inclusiva por meio da reorganização dos serviços especializados. O objetivo é permitir que os países reflitam e desenvolvam um </w:t>
      </w:r>
      <w:r w:rsidRPr="00893AA5">
        <w:rPr>
          <w:rFonts w:asciiTheme="majorHAnsi" w:hAnsiTheme="majorHAnsi" w:cstheme="majorHAnsi"/>
          <w:i/>
          <w:lang w:bidi="pt-PT"/>
        </w:rPr>
        <w:t>continuum</w:t>
      </w:r>
      <w:r w:rsidRPr="00893AA5">
        <w:rPr>
          <w:rFonts w:asciiTheme="majorHAnsi" w:hAnsiTheme="majorHAnsi" w:cstheme="majorHAnsi"/>
          <w:lang w:bidi="pt-PT"/>
        </w:rPr>
        <w:t xml:space="preserve"> de apoio à educação inclusiva ao:</w:t>
      </w:r>
    </w:p>
    <w:p w14:paraId="162D6D71" w14:textId="77777777" w:rsidR="00776FBF" w:rsidRPr="00893AA5" w:rsidRDefault="00776FBF" w:rsidP="00591FE3">
      <w:pPr>
        <w:pStyle w:val="Agency-body-text"/>
        <w:numPr>
          <w:ilvl w:val="0"/>
          <w:numId w:val="36"/>
        </w:numPr>
        <w:rPr>
          <w:rFonts w:asciiTheme="majorHAnsi" w:hAnsiTheme="majorHAnsi" w:cstheme="majorHAnsi"/>
        </w:rPr>
      </w:pPr>
      <w:r w:rsidRPr="00893AA5">
        <w:rPr>
          <w:rFonts w:asciiTheme="majorHAnsi" w:hAnsiTheme="majorHAnsi" w:cstheme="majorHAnsi"/>
          <w:lang w:bidi="pt-PT"/>
        </w:rPr>
        <w:t>apoia-los a avaliar em que fase estão no seu percurso para a mudança do papel dos serviços especializados, por meio de perguntas detalhadas autorreflexivas;</w:t>
      </w:r>
    </w:p>
    <w:p w14:paraId="67CC3B3A" w14:textId="78B0F85C" w:rsidR="00776FBF" w:rsidRPr="00893AA5" w:rsidRDefault="00776FBF" w:rsidP="00591FE3">
      <w:pPr>
        <w:pStyle w:val="Agency-body-text"/>
        <w:numPr>
          <w:ilvl w:val="0"/>
          <w:numId w:val="36"/>
        </w:numPr>
        <w:rPr>
          <w:rFonts w:asciiTheme="majorHAnsi" w:hAnsiTheme="majorHAnsi" w:cstheme="majorHAnsi"/>
        </w:rPr>
      </w:pPr>
      <w:r w:rsidRPr="00893AA5">
        <w:rPr>
          <w:rFonts w:asciiTheme="majorHAnsi" w:hAnsiTheme="majorHAnsi" w:cstheme="majorHAnsi"/>
          <w:lang w:bidi="pt-PT"/>
        </w:rPr>
        <w:t>identificar os próximos passos para a mudança do papel dos serviços especializados.</w:t>
      </w:r>
    </w:p>
    <w:p w14:paraId="1C883D99" w14:textId="231F005A"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 ferramenta é dirigida principalmente a decisores políticos a nível nacional/regional/local, bem como a decisores e profissionais a nível escolar.</w:t>
      </w:r>
    </w:p>
    <w:p w14:paraId="70C14D4E" w14:textId="21462F10" w:rsidR="00776FBF" w:rsidRPr="00893AA5" w:rsidRDefault="00776FBF" w:rsidP="00591FE3">
      <w:pPr>
        <w:pStyle w:val="Agency-heading-1"/>
        <w:rPr>
          <w:rFonts w:asciiTheme="majorHAnsi" w:hAnsiTheme="majorHAnsi" w:cstheme="majorHAnsi"/>
        </w:rPr>
      </w:pPr>
      <w:bookmarkStart w:id="2" w:name="_Toc128142424"/>
      <w:r w:rsidRPr="00893AA5">
        <w:rPr>
          <w:rFonts w:asciiTheme="majorHAnsi" w:hAnsiTheme="majorHAnsi" w:cstheme="majorHAnsi"/>
          <w:lang w:bidi="pt-PT"/>
        </w:rPr>
        <w:lastRenderedPageBreak/>
        <w:t>Como usar a ferramenta</w:t>
      </w:r>
      <w:bookmarkEnd w:id="2"/>
    </w:p>
    <w:p w14:paraId="42BF9C6D" w14:textId="7E4DBAFF"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 ferramenta é composta por um conjunto de perguntas que podem ser respondidas por uma equipa multidisciplinar. Esta equipa pode ser composta por decisores de todos os níveis educacionais e/ou outras partes interessadas, incluindo profissionais dos serviços regulares e especializados.</w:t>
      </w:r>
    </w:p>
    <w:p w14:paraId="4BE0DB70" w14:textId="58BD9565"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A ferramenta é um </w:t>
      </w:r>
      <w:r w:rsidRPr="00893AA5">
        <w:rPr>
          <w:rFonts w:asciiTheme="majorHAnsi" w:hAnsiTheme="majorHAnsi" w:cstheme="majorHAnsi"/>
          <w:b/>
          <w:lang w:bidi="pt-PT"/>
        </w:rPr>
        <w:t>documento de fonte aberta</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 xml:space="preserve">Estará disponível em todos os idiomas da Agência. Os países são incentivados a usar e desenvolver a ferramenta, após a sua validação e adaptação dos seus conceitos e terminologia aos seus contextos nacionais (para obter mais detalhes, consulte o </w:t>
      </w:r>
      <w:hyperlink w:anchor="annex3" w:history="1">
        <w:r w:rsidRPr="00893AA5">
          <w:rPr>
            <w:rStyle w:val="Hyperlink"/>
            <w:rFonts w:asciiTheme="majorHAnsi" w:hAnsiTheme="majorHAnsi" w:cstheme="majorHAnsi"/>
            <w:lang w:bidi="pt-PT"/>
          </w:rPr>
          <w:t>anexo 3</w:t>
        </w:r>
      </w:hyperlink>
      <w:r w:rsidRPr="00893AA5">
        <w:rPr>
          <w:rFonts w:asciiTheme="majorHAnsi" w:hAnsiTheme="majorHAnsi" w:cstheme="majorHAnsi"/>
          <w:lang w:bidi="pt-PT"/>
        </w:rPr>
        <w:t>).</w:t>
      </w:r>
    </w:p>
    <w:p w14:paraId="57C3DB43" w14:textId="4FE73609"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Com base nas suas prioridades nacionais, os países podem decidir usar toda a ferramenta para autorrevisão ou partes dela (ou seja, focar em princípios orientadores específicos e/ou perguntas específicas).</w:t>
      </w:r>
    </w:p>
    <w:p w14:paraId="53F287CF" w14:textId="031EC639" w:rsidR="00776FBF" w:rsidRPr="00893AA5" w:rsidRDefault="00776FBF" w:rsidP="00591FE3">
      <w:pPr>
        <w:pStyle w:val="Agency-body-text"/>
        <w:rPr>
          <w:rFonts w:asciiTheme="majorHAnsi" w:eastAsia="Calibri" w:hAnsiTheme="majorHAnsi" w:cstheme="majorHAnsi"/>
        </w:rPr>
      </w:pPr>
      <w:r w:rsidRPr="00893AA5">
        <w:rPr>
          <w:rFonts w:asciiTheme="majorHAnsi" w:hAnsiTheme="majorHAnsi" w:cstheme="majorHAnsi"/>
          <w:lang w:bidi="pt-PT"/>
        </w:rPr>
        <w:t>A ferramenta poderia ser divulgada a várias partes interessadas para utilização e troca de pontos de vista. Tenha em consideração que algumas áreas podem ser mais relevantes para os decisores políticos, enquanto outras podem ser mais úteis para profissionais da área. Por conseguinte, as perguntas mais relevantes podem ser respondidas pelas respetivas partes interessadas, com foco em tópicos selecionados cada vez que se reúnem. Os utilizadores podem encontrar-se mais de uma vez, como uma oportunidade para estabelecer ligações.</w:t>
      </w:r>
    </w:p>
    <w:p w14:paraId="08437630" w14:textId="5B90AD95" w:rsidR="00776FBF" w:rsidRPr="00893AA5" w:rsidRDefault="00776FBF" w:rsidP="00591FE3">
      <w:pPr>
        <w:pStyle w:val="Agency-heading-2"/>
        <w:rPr>
          <w:rFonts w:asciiTheme="majorHAnsi" w:hAnsiTheme="majorHAnsi" w:cstheme="majorHAnsi"/>
        </w:rPr>
      </w:pPr>
      <w:bookmarkStart w:id="3" w:name="_Toc128142425"/>
      <w:r w:rsidRPr="00893AA5">
        <w:rPr>
          <w:rFonts w:asciiTheme="majorHAnsi" w:hAnsiTheme="majorHAnsi" w:cstheme="majorHAnsi"/>
          <w:lang w:bidi="pt-PT"/>
        </w:rPr>
        <w:t>Preparativos</w:t>
      </w:r>
      <w:bookmarkEnd w:id="3"/>
    </w:p>
    <w:p w14:paraId="1F19BD98" w14:textId="66F4F021" w:rsidR="00776FBF"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Antes de responder às perguntas da ferramenta, os utilizadores devem decidir o seguinte:</w:t>
      </w:r>
    </w:p>
    <w:p w14:paraId="398B45DD" w14:textId="77777777" w:rsidR="00776FBF" w:rsidRPr="00893AA5" w:rsidRDefault="00776FBF" w:rsidP="00591FE3">
      <w:pPr>
        <w:pStyle w:val="Agency-body-text"/>
        <w:numPr>
          <w:ilvl w:val="0"/>
          <w:numId w:val="38"/>
        </w:numPr>
        <w:rPr>
          <w:rFonts w:asciiTheme="majorHAnsi" w:hAnsiTheme="majorHAnsi" w:cstheme="majorHAnsi"/>
        </w:rPr>
      </w:pPr>
      <w:r w:rsidRPr="00893AA5">
        <w:rPr>
          <w:rFonts w:asciiTheme="majorHAnsi" w:hAnsiTheme="majorHAnsi" w:cstheme="majorHAnsi"/>
          <w:lang w:bidi="pt-PT"/>
        </w:rPr>
        <w:t>Quem estará envolvido no preenchimento da ferramenta?</w:t>
      </w:r>
    </w:p>
    <w:p w14:paraId="2F03FA5D" w14:textId="5DAD1F44" w:rsidR="00776FBF" w:rsidRPr="00893AA5" w:rsidRDefault="00776FBF" w:rsidP="00591FE3">
      <w:pPr>
        <w:pStyle w:val="Agency-body-text"/>
        <w:numPr>
          <w:ilvl w:val="0"/>
          <w:numId w:val="38"/>
        </w:numPr>
        <w:rPr>
          <w:rFonts w:asciiTheme="majorHAnsi" w:hAnsiTheme="majorHAnsi" w:cstheme="majorHAnsi"/>
        </w:rPr>
      </w:pPr>
      <w:r w:rsidRPr="00893AA5">
        <w:rPr>
          <w:rFonts w:asciiTheme="majorHAnsi" w:hAnsiTheme="majorHAnsi" w:cstheme="majorHAnsi"/>
          <w:lang w:bidi="pt-PT"/>
        </w:rPr>
        <w:t>Quais informações adicionais são necessárias?</w:t>
      </w:r>
    </w:p>
    <w:p w14:paraId="46A89BC6" w14:textId="61566E34" w:rsidR="00776FBF" w:rsidRPr="00893AA5" w:rsidRDefault="00776FBF" w:rsidP="00591FE3">
      <w:pPr>
        <w:pStyle w:val="Agency-heading-2"/>
        <w:rPr>
          <w:rFonts w:asciiTheme="majorHAnsi" w:hAnsiTheme="majorHAnsi" w:cstheme="majorHAnsi"/>
        </w:rPr>
      </w:pPr>
      <w:bookmarkStart w:id="4" w:name="_Toc128142426"/>
      <w:r w:rsidRPr="00893AA5">
        <w:rPr>
          <w:rFonts w:asciiTheme="majorHAnsi" w:hAnsiTheme="majorHAnsi" w:cstheme="majorHAnsi"/>
          <w:lang w:bidi="pt-PT"/>
        </w:rPr>
        <w:t>Completar a ferramenta</w:t>
      </w:r>
      <w:bookmarkEnd w:id="4"/>
    </w:p>
    <w:p w14:paraId="4D6CDA8A" w14:textId="148F31CC"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 ferramenta convida os utilizadores a responder a um conjunto de perguntas reflexivas baseadas em prioridades/estratégias políticas específicas, bem como nas ações-chave necessárias para apoiar a mudança no papel dos serviços especializados.</w:t>
      </w:r>
    </w:p>
    <w:p w14:paraId="6408B147" w14:textId="77777777" w:rsidR="00776FBF" w:rsidRPr="00893AA5" w:rsidRDefault="00776FBF" w:rsidP="000034CB">
      <w:pPr>
        <w:pStyle w:val="Agency-body-text"/>
        <w:keepNext/>
        <w:rPr>
          <w:rFonts w:asciiTheme="majorHAnsi" w:hAnsiTheme="majorHAnsi" w:cstheme="majorHAnsi"/>
        </w:rPr>
      </w:pPr>
      <w:r w:rsidRPr="00893AA5">
        <w:rPr>
          <w:rFonts w:asciiTheme="majorHAnsi" w:hAnsiTheme="majorHAnsi" w:cstheme="majorHAnsi"/>
          <w:lang w:bidi="pt-PT"/>
        </w:rPr>
        <w:t>Cada pergunta pode ser registada numa escala de implementação de quatro níveis:</w:t>
      </w:r>
    </w:p>
    <w:p w14:paraId="3C85E622" w14:textId="77777777" w:rsidR="00776FBF" w:rsidRPr="00893AA5" w:rsidRDefault="00776FBF" w:rsidP="00591FE3">
      <w:pPr>
        <w:pStyle w:val="Agency-body-text"/>
        <w:numPr>
          <w:ilvl w:val="0"/>
          <w:numId w:val="40"/>
        </w:numPr>
        <w:rPr>
          <w:rFonts w:asciiTheme="majorHAnsi" w:hAnsiTheme="majorHAnsi" w:cstheme="majorHAnsi"/>
        </w:rPr>
      </w:pPr>
      <w:r w:rsidRPr="00893AA5">
        <w:rPr>
          <w:rFonts w:asciiTheme="majorHAnsi" w:hAnsiTheme="majorHAnsi" w:cstheme="majorHAnsi"/>
          <w:b/>
          <w:lang w:bidi="pt-PT"/>
        </w:rPr>
        <w:t>Ainda não</w:t>
      </w:r>
      <w:r w:rsidRPr="00893AA5">
        <w:rPr>
          <w:rFonts w:asciiTheme="majorHAnsi" w:hAnsiTheme="majorHAnsi" w:cstheme="majorHAnsi"/>
          <w:lang w:bidi="pt-PT"/>
        </w:rPr>
        <w:t xml:space="preserve"> — As principais políticas e ações ainda não estão a ser consideradas</w:t>
      </w:r>
    </w:p>
    <w:p w14:paraId="77DA6B0F" w14:textId="77777777" w:rsidR="00776FBF" w:rsidRPr="00893AA5" w:rsidRDefault="00776FBF" w:rsidP="00591FE3">
      <w:pPr>
        <w:pStyle w:val="Agency-body-text"/>
        <w:numPr>
          <w:ilvl w:val="0"/>
          <w:numId w:val="40"/>
        </w:numPr>
        <w:rPr>
          <w:rFonts w:asciiTheme="majorHAnsi" w:hAnsiTheme="majorHAnsi" w:cstheme="majorHAnsi"/>
        </w:rPr>
      </w:pPr>
      <w:r w:rsidRPr="00893AA5">
        <w:rPr>
          <w:rFonts w:asciiTheme="majorHAnsi" w:hAnsiTheme="majorHAnsi" w:cstheme="majorHAnsi"/>
          <w:b/>
          <w:lang w:bidi="pt-PT"/>
        </w:rPr>
        <w:t>Planeada</w:t>
      </w:r>
      <w:r w:rsidRPr="00893AA5">
        <w:rPr>
          <w:rFonts w:asciiTheme="majorHAnsi" w:hAnsiTheme="majorHAnsi" w:cstheme="majorHAnsi"/>
          <w:lang w:bidi="pt-PT"/>
        </w:rPr>
        <w:t xml:space="preserve"> — Existe um plano/ideia, mas a implementação ainda não começou</w:t>
      </w:r>
    </w:p>
    <w:p w14:paraId="114A0DF2" w14:textId="77777777" w:rsidR="00776FBF" w:rsidRPr="00893AA5" w:rsidRDefault="00776FBF" w:rsidP="00591FE3">
      <w:pPr>
        <w:pStyle w:val="Agency-body-text"/>
        <w:numPr>
          <w:ilvl w:val="0"/>
          <w:numId w:val="40"/>
        </w:numPr>
        <w:rPr>
          <w:rFonts w:asciiTheme="majorHAnsi" w:hAnsiTheme="majorHAnsi" w:cstheme="majorHAnsi"/>
        </w:rPr>
      </w:pPr>
      <w:r w:rsidRPr="00893AA5">
        <w:rPr>
          <w:rFonts w:asciiTheme="majorHAnsi" w:hAnsiTheme="majorHAnsi" w:cstheme="majorHAnsi"/>
          <w:b/>
          <w:lang w:bidi="pt-PT"/>
        </w:rPr>
        <w:t>Parcialmente em vigor</w:t>
      </w:r>
      <w:r w:rsidRPr="00893AA5">
        <w:rPr>
          <w:rFonts w:asciiTheme="majorHAnsi" w:hAnsiTheme="majorHAnsi" w:cstheme="majorHAnsi"/>
          <w:lang w:bidi="pt-PT"/>
        </w:rPr>
        <w:t xml:space="preserve"> — A implementação já começou, mas precisa de maior cobertura e maior qualidade</w:t>
      </w:r>
    </w:p>
    <w:p w14:paraId="6105BB2E" w14:textId="77777777" w:rsidR="00776FBF" w:rsidRPr="00893AA5" w:rsidRDefault="00776FBF" w:rsidP="00591FE3">
      <w:pPr>
        <w:pStyle w:val="Agency-body-text"/>
        <w:numPr>
          <w:ilvl w:val="0"/>
          <w:numId w:val="40"/>
        </w:numPr>
        <w:rPr>
          <w:rFonts w:asciiTheme="majorHAnsi" w:hAnsiTheme="majorHAnsi" w:cstheme="majorHAnsi"/>
        </w:rPr>
      </w:pPr>
      <w:r w:rsidRPr="00893AA5">
        <w:rPr>
          <w:rFonts w:asciiTheme="majorHAnsi" w:hAnsiTheme="majorHAnsi" w:cstheme="majorHAnsi"/>
          <w:b/>
          <w:lang w:bidi="pt-PT"/>
        </w:rPr>
        <w:t>Em vigor</w:t>
      </w:r>
      <w:r w:rsidRPr="00893AA5">
        <w:rPr>
          <w:rFonts w:asciiTheme="majorHAnsi" w:hAnsiTheme="majorHAnsi" w:cstheme="majorHAnsi"/>
          <w:lang w:bidi="pt-PT"/>
        </w:rPr>
        <w:t xml:space="preserve"> — A implementação é de alta qualidade, ampla e consistente.</w:t>
      </w:r>
    </w:p>
    <w:p w14:paraId="33EAAB61" w14:textId="7777777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A coluna </w:t>
      </w:r>
      <w:r w:rsidRPr="00893AA5">
        <w:rPr>
          <w:rFonts w:asciiTheme="majorHAnsi" w:hAnsiTheme="majorHAnsi" w:cstheme="majorHAnsi"/>
          <w:b/>
          <w:lang w:bidi="pt-PT"/>
        </w:rPr>
        <w:t>Comentários</w:t>
      </w:r>
      <w:r w:rsidRPr="00893AA5">
        <w:rPr>
          <w:rFonts w:asciiTheme="majorHAnsi" w:hAnsiTheme="majorHAnsi" w:cstheme="majorHAnsi"/>
          <w:lang w:bidi="pt-PT"/>
        </w:rPr>
        <w:t xml:space="preserve"> é para qualquer comentário avaliativo que se refira à qualidade da implementação das principais políticas e ações ou qualquer outro indício disponível </w:t>
      </w:r>
      <w:r w:rsidRPr="00893AA5">
        <w:rPr>
          <w:rFonts w:asciiTheme="majorHAnsi" w:hAnsiTheme="majorHAnsi" w:cstheme="majorHAnsi"/>
          <w:lang w:bidi="pt-PT"/>
        </w:rPr>
        <w:lastRenderedPageBreak/>
        <w:t>(incluindo qualquer informação sobre monitorização e avaliação, dados baseados em factos, etc.).</w:t>
      </w:r>
    </w:p>
    <w:p w14:paraId="4CBD6FA5" w14:textId="1DC21991" w:rsidR="00776FBF" w:rsidRPr="00893AA5" w:rsidRDefault="00776FBF" w:rsidP="00591FE3">
      <w:pPr>
        <w:pStyle w:val="Agency-heading-2"/>
        <w:rPr>
          <w:rFonts w:asciiTheme="majorHAnsi" w:hAnsiTheme="majorHAnsi" w:cstheme="majorHAnsi"/>
        </w:rPr>
      </w:pPr>
      <w:bookmarkStart w:id="5" w:name="_Toc128142427"/>
      <w:r w:rsidRPr="00893AA5">
        <w:rPr>
          <w:rFonts w:asciiTheme="majorHAnsi" w:hAnsiTheme="majorHAnsi" w:cstheme="majorHAnsi"/>
          <w:lang w:bidi="pt-PT"/>
        </w:rPr>
        <w:t>Refletir sobre as respostas</w:t>
      </w:r>
      <w:bookmarkEnd w:id="5"/>
    </w:p>
    <w:p w14:paraId="29876F85" w14:textId="77777777"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Depois de responder às perguntas em conjunto, os utilizadores devem iniciar uma discussão com o objetivo de identificar as prioridades/estratégias/ações-chave políticas necessárias que estão em vigor, que podem estar em falta e/ou que precisem de melhorias e desenvolvimento adicional.</w:t>
      </w:r>
    </w:p>
    <w:p w14:paraId="78EAB178" w14:textId="15BDB2F7" w:rsidR="00776FBF" w:rsidRPr="00893AA5" w:rsidRDefault="00776FBF" w:rsidP="00EE2C04">
      <w:pPr>
        <w:pStyle w:val="Agency-body-text"/>
        <w:keepNext/>
        <w:rPr>
          <w:rFonts w:asciiTheme="majorHAnsi" w:hAnsiTheme="majorHAnsi" w:cstheme="majorHAnsi"/>
        </w:rPr>
      </w:pPr>
      <w:r w:rsidRPr="00893AA5">
        <w:rPr>
          <w:rFonts w:asciiTheme="majorHAnsi" w:hAnsiTheme="majorHAnsi" w:cstheme="majorHAnsi"/>
          <w:lang w:bidi="pt-PT"/>
        </w:rPr>
        <w:t>Especificamente, os utilizadores podem refletir sobre as seguintes perguntas para cada princípio orientador:</w:t>
      </w:r>
    </w:p>
    <w:p w14:paraId="5EA7541C" w14:textId="77777777" w:rsidR="00776FBF" w:rsidRPr="00893AA5" w:rsidRDefault="00776FBF" w:rsidP="00591FE3">
      <w:pPr>
        <w:pStyle w:val="Agency-body-text"/>
        <w:numPr>
          <w:ilvl w:val="0"/>
          <w:numId w:val="45"/>
        </w:numPr>
        <w:rPr>
          <w:rFonts w:asciiTheme="majorHAnsi" w:hAnsiTheme="majorHAnsi" w:cstheme="majorHAnsi"/>
        </w:rPr>
      </w:pPr>
      <w:r w:rsidRPr="00893AA5">
        <w:rPr>
          <w:rFonts w:asciiTheme="majorHAnsi" w:hAnsiTheme="majorHAnsi" w:cstheme="majorHAnsi"/>
          <w:lang w:bidi="pt-PT"/>
        </w:rPr>
        <w:t>Em que ponto estamos no percurso para garantir cada princípio orientador?</w:t>
      </w:r>
    </w:p>
    <w:p w14:paraId="54529867" w14:textId="77777777" w:rsidR="00776FBF" w:rsidRPr="00893AA5" w:rsidRDefault="00776FBF" w:rsidP="00591FE3">
      <w:pPr>
        <w:pStyle w:val="Agency-body-text"/>
        <w:numPr>
          <w:ilvl w:val="0"/>
          <w:numId w:val="45"/>
        </w:numPr>
        <w:rPr>
          <w:rFonts w:asciiTheme="majorHAnsi" w:hAnsiTheme="majorHAnsi" w:cstheme="majorHAnsi"/>
        </w:rPr>
      </w:pPr>
      <w:r w:rsidRPr="00893AA5">
        <w:rPr>
          <w:rFonts w:asciiTheme="majorHAnsi" w:hAnsiTheme="majorHAnsi" w:cstheme="majorHAnsi"/>
          <w:lang w:bidi="pt-PT"/>
        </w:rPr>
        <w:t>Quais são os nossos pontos fortes a esse respeito?</w:t>
      </w:r>
    </w:p>
    <w:p w14:paraId="7FAD8646" w14:textId="77777777" w:rsidR="00776FBF" w:rsidRPr="00893AA5" w:rsidRDefault="00776FBF" w:rsidP="00591FE3">
      <w:pPr>
        <w:pStyle w:val="Agency-body-text"/>
        <w:numPr>
          <w:ilvl w:val="0"/>
          <w:numId w:val="45"/>
        </w:numPr>
        <w:rPr>
          <w:rFonts w:asciiTheme="majorHAnsi" w:hAnsiTheme="majorHAnsi" w:cstheme="majorHAnsi"/>
        </w:rPr>
      </w:pPr>
      <w:r w:rsidRPr="00893AA5">
        <w:rPr>
          <w:rFonts w:asciiTheme="majorHAnsi" w:hAnsiTheme="majorHAnsi" w:cstheme="majorHAnsi"/>
          <w:lang w:bidi="pt-PT"/>
        </w:rPr>
        <w:t>Que áreas necessitamos de melhorar/desenvolver mais?</w:t>
      </w:r>
    </w:p>
    <w:p w14:paraId="3F0529FC" w14:textId="77777777" w:rsidR="00776FBF" w:rsidRPr="00893AA5" w:rsidRDefault="00776FBF" w:rsidP="00591FE3">
      <w:pPr>
        <w:pStyle w:val="Agency-body-text"/>
        <w:numPr>
          <w:ilvl w:val="0"/>
          <w:numId w:val="45"/>
        </w:numPr>
        <w:rPr>
          <w:rFonts w:asciiTheme="majorHAnsi" w:hAnsiTheme="majorHAnsi" w:cstheme="majorHAnsi"/>
        </w:rPr>
      </w:pPr>
      <w:r w:rsidRPr="00893AA5">
        <w:rPr>
          <w:rFonts w:asciiTheme="majorHAnsi" w:hAnsiTheme="majorHAnsi" w:cstheme="majorHAnsi"/>
          <w:lang w:bidi="pt-PT"/>
        </w:rPr>
        <w:t>Quais seriam as nossas três prioridades/próximos passos a serem considerados?</w:t>
      </w:r>
    </w:p>
    <w:p w14:paraId="44287A72" w14:textId="77777777" w:rsidR="00776FBF" w:rsidRPr="00893AA5" w:rsidRDefault="00776FBF" w:rsidP="00591FE3">
      <w:pPr>
        <w:pStyle w:val="Agency-body-text"/>
        <w:numPr>
          <w:ilvl w:val="0"/>
          <w:numId w:val="45"/>
        </w:numPr>
        <w:rPr>
          <w:rFonts w:asciiTheme="majorHAnsi" w:hAnsiTheme="majorHAnsi" w:cstheme="majorHAnsi"/>
        </w:rPr>
      </w:pPr>
      <w:r w:rsidRPr="00893AA5">
        <w:rPr>
          <w:rFonts w:asciiTheme="majorHAnsi" w:hAnsiTheme="majorHAnsi" w:cstheme="majorHAnsi"/>
          <w:lang w:bidi="pt-PT"/>
        </w:rPr>
        <w:t>Com quem precisamos de discutir essas prioridades?</w:t>
      </w:r>
    </w:p>
    <w:p w14:paraId="4F9B2B32" w14:textId="08A89B21"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Ao refletir sobre estas perguntas os utilizadores conseguem identificar possíveis lacunas e acordar ações-chave específicas necessárias para facilitar a implementação da educação inclusiva. Este processo pode ser determinante para desenvolvimentos futuros a nível nacional, regional e local.</w:t>
      </w:r>
    </w:p>
    <w:p w14:paraId="0ED4EA0B" w14:textId="77777777" w:rsidR="00776FBF" w:rsidRPr="00893AA5" w:rsidRDefault="00776FBF" w:rsidP="00591FE3">
      <w:pPr>
        <w:pStyle w:val="Agency-body-text"/>
        <w:rPr>
          <w:rFonts w:asciiTheme="majorHAnsi" w:hAnsiTheme="majorHAnsi" w:cstheme="majorHAnsi"/>
        </w:rPr>
        <w:sectPr w:rsidR="00776FBF" w:rsidRPr="00893AA5"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893AA5" w:rsidRDefault="00776FBF" w:rsidP="00591FE3">
      <w:pPr>
        <w:pStyle w:val="Agency-heading-1"/>
        <w:rPr>
          <w:rFonts w:asciiTheme="majorHAnsi" w:hAnsiTheme="majorHAnsi" w:cstheme="majorHAnsi"/>
        </w:rPr>
      </w:pPr>
      <w:bookmarkStart w:id="6" w:name="_Toc128142428"/>
      <w:r w:rsidRPr="00893AA5">
        <w:rPr>
          <w:rFonts w:asciiTheme="majorHAnsi" w:hAnsiTheme="majorHAnsi" w:cstheme="majorHAnsi"/>
          <w:lang w:bidi="pt-PT"/>
        </w:rPr>
        <w:lastRenderedPageBreak/>
        <w:t>Ferramenta de autorrevisão de políticas CROSP</w:t>
      </w:r>
      <w:bookmarkEnd w:id="6"/>
    </w:p>
    <w:p w14:paraId="7E8FAA92" w14:textId="3F8ABE67" w:rsidR="00776FBF" w:rsidRPr="00893AA5" w:rsidRDefault="00776FBF" w:rsidP="00591FE3">
      <w:pPr>
        <w:pStyle w:val="Agency-heading-2"/>
        <w:rPr>
          <w:rFonts w:asciiTheme="majorHAnsi" w:hAnsiTheme="majorHAnsi" w:cstheme="majorHAnsi"/>
        </w:rPr>
      </w:pPr>
      <w:bookmarkStart w:id="7" w:name="_Toc128142429"/>
      <w:r w:rsidRPr="00893AA5">
        <w:rPr>
          <w:rFonts w:asciiTheme="majorHAnsi" w:hAnsiTheme="majorHAnsi" w:cstheme="majorHAnsi"/>
          <w:lang w:bidi="pt-PT"/>
        </w:rPr>
        <w:t>Princípio orientador 1: Desenvolver um compromisso comum para a educação inclusiva</w:t>
      </w:r>
      <w:bookmarkEnd w:id="7"/>
    </w:p>
    <w:p w14:paraId="688FA38A" w14:textId="216E9F12"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1.1: Existe um compromisso comum para com a educação inclusiva, apoiado por uma vontade política de encorajar uma </w:t>
      </w:r>
      <w:r w:rsidRPr="00893AA5">
        <w:rPr>
          <w:rFonts w:asciiTheme="majorHAnsi" w:hAnsiTheme="majorHAnsi" w:cstheme="majorHAnsi"/>
          <w:i/>
          <w:lang w:bidi="pt-PT"/>
        </w:rPr>
        <w:t>mudança de longo prazo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756C2756" w14:textId="77777777" w:rsidTr="008B24CF">
        <w:trPr>
          <w:cantSplit/>
          <w:tblHeader/>
        </w:trPr>
        <w:tc>
          <w:tcPr>
            <w:tcW w:w="2250" w:type="pct"/>
            <w:shd w:val="clear" w:color="auto" w:fill="D9D9D9" w:themeFill="background1" w:themeFillShade="D9"/>
          </w:tcPr>
          <w:p w14:paraId="6981D2C0"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347F05F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0815868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3CD633F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0095806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026B9CD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534E189C" w14:textId="77777777" w:rsidTr="008B24CF">
        <w:trPr>
          <w:cantSplit/>
        </w:trPr>
        <w:tc>
          <w:tcPr>
            <w:tcW w:w="2250" w:type="pct"/>
          </w:tcPr>
          <w:p w14:paraId="512E0E08"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1.1.1:</w:t>
            </w:r>
            <w:r w:rsidRPr="00893AA5">
              <w:rPr>
                <w:rFonts w:asciiTheme="majorHAnsi" w:hAnsiTheme="majorHAnsi" w:cstheme="majorHAnsi"/>
                <w:sz w:val="22"/>
                <w:lang w:bidi="pt-PT"/>
              </w:rPr>
              <w:t xml:space="preserve"> Existem órgãos interministeriais que apoiam mudanças de longo prazo em direção à educação inclusiva?</w:t>
            </w:r>
          </w:p>
        </w:tc>
        <w:tc>
          <w:tcPr>
            <w:tcW w:w="500" w:type="pct"/>
          </w:tcPr>
          <w:p w14:paraId="6EDD16E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B7BFAD8" w14:textId="77777777" w:rsidTr="008B24CF">
        <w:trPr>
          <w:cantSplit/>
        </w:trPr>
        <w:tc>
          <w:tcPr>
            <w:tcW w:w="2250" w:type="pct"/>
          </w:tcPr>
          <w:p w14:paraId="7613047E"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1.1.2:</w:t>
            </w:r>
            <w:r w:rsidRPr="00893AA5">
              <w:rPr>
                <w:rFonts w:asciiTheme="majorHAnsi" w:hAnsiTheme="majorHAnsi" w:cstheme="majorHAnsi"/>
                <w:sz w:val="22"/>
                <w:lang w:bidi="pt-PT"/>
              </w:rPr>
              <w:t xml:space="preserve"> Existe alguma medida de governação e/ou financiamento que incentive profissionais dos serviços regulares e especializados a comprometerem-se com mudanças de longo prazo?</w:t>
            </w:r>
          </w:p>
        </w:tc>
        <w:tc>
          <w:tcPr>
            <w:tcW w:w="500" w:type="pct"/>
          </w:tcPr>
          <w:p w14:paraId="52A03E3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355531BD" w14:textId="77777777" w:rsidTr="008B24CF">
        <w:trPr>
          <w:cantSplit/>
        </w:trPr>
        <w:tc>
          <w:tcPr>
            <w:tcW w:w="2250" w:type="pct"/>
          </w:tcPr>
          <w:p w14:paraId="0E53228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1.1.3:</w:t>
            </w:r>
            <w:r w:rsidRPr="00893AA5">
              <w:rPr>
                <w:rFonts w:asciiTheme="majorHAnsi" w:hAnsiTheme="majorHAnsi" w:cstheme="majorHAnsi"/>
                <w:sz w:val="22"/>
                <w:lang w:bidi="pt-PT"/>
              </w:rPr>
              <w:t xml:space="preserve"> As estruturas de apoio permitem que profissionais dos serviços especializados assumam a responsabilidade por todos os alunos?</w:t>
            </w:r>
          </w:p>
        </w:tc>
        <w:tc>
          <w:tcPr>
            <w:tcW w:w="500" w:type="pct"/>
          </w:tcPr>
          <w:p w14:paraId="265FC0C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8035CC2" w14:textId="77777777" w:rsidTr="008B24CF">
        <w:trPr>
          <w:cantSplit/>
        </w:trPr>
        <w:tc>
          <w:tcPr>
            <w:tcW w:w="2250" w:type="pct"/>
          </w:tcPr>
          <w:p w14:paraId="2061F53B"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69099C8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893AA5" w:rsidRDefault="00776FBF" w:rsidP="00591FE3">
            <w:pPr>
              <w:pStyle w:val="Agency-body-text"/>
              <w:rPr>
                <w:rFonts w:asciiTheme="majorHAnsi" w:hAnsiTheme="majorHAnsi" w:cstheme="majorHAnsi"/>
                <w:sz w:val="22"/>
                <w:szCs w:val="22"/>
              </w:rPr>
            </w:pPr>
          </w:p>
        </w:tc>
      </w:tr>
    </w:tbl>
    <w:p w14:paraId="240A57F1" w14:textId="7A6A96C9"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lastRenderedPageBreak/>
        <w:t xml:space="preserve">Prioridade/estratégia política 1.2: As políticas nacionais incluem um compromisso comum para com a educação inclusiva, apoiado por uma </w:t>
      </w:r>
      <w:r w:rsidRPr="00893AA5">
        <w:rPr>
          <w:rFonts w:asciiTheme="majorHAnsi" w:hAnsiTheme="majorHAnsi" w:cstheme="majorHAnsi"/>
          <w:i/>
          <w:lang w:bidi="pt-PT"/>
        </w:rPr>
        <w:t>abordagem baseada nos direitos humanos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2A3C0A70" w14:textId="77777777" w:rsidTr="00C01411">
        <w:trPr>
          <w:cantSplit/>
          <w:tblHeader/>
        </w:trPr>
        <w:tc>
          <w:tcPr>
            <w:tcW w:w="2250" w:type="pct"/>
            <w:shd w:val="clear" w:color="auto" w:fill="D9D9D9" w:themeFill="background1" w:themeFillShade="D9"/>
          </w:tcPr>
          <w:p w14:paraId="3BDC8DB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1736A00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25A5AC2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5FCACAF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01D9E57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1F44B76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3683E2F1" w14:textId="77777777" w:rsidTr="00C01411">
        <w:trPr>
          <w:cantSplit/>
        </w:trPr>
        <w:tc>
          <w:tcPr>
            <w:tcW w:w="2250" w:type="pct"/>
          </w:tcPr>
          <w:p w14:paraId="5C694161"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1.2.1</w:t>
            </w:r>
            <w:r w:rsidRPr="00893AA5">
              <w:rPr>
                <w:rFonts w:asciiTheme="majorHAnsi" w:hAnsiTheme="majorHAnsi" w:cstheme="majorHAnsi"/>
                <w:sz w:val="22"/>
                <w:lang w:bidi="pt-PT"/>
              </w:rPr>
              <w:t>: Existe um compromisso político claro e de longo prazo que apoie a abordagem dos direitos humanos na legislação e na política?</w:t>
            </w:r>
          </w:p>
        </w:tc>
        <w:tc>
          <w:tcPr>
            <w:tcW w:w="500" w:type="pct"/>
          </w:tcPr>
          <w:p w14:paraId="4CFE062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884FD38" w14:textId="77777777" w:rsidTr="00C01411">
        <w:trPr>
          <w:cantSplit/>
        </w:trPr>
        <w:tc>
          <w:tcPr>
            <w:tcW w:w="2250" w:type="pct"/>
          </w:tcPr>
          <w:p w14:paraId="7CA616B5"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1.2.2</w:t>
            </w:r>
            <w:r w:rsidRPr="00893AA5">
              <w:rPr>
                <w:rFonts w:asciiTheme="majorHAnsi" w:hAnsiTheme="majorHAnsi" w:cstheme="majorHAnsi"/>
                <w:sz w:val="22"/>
                <w:lang w:bidi="pt-PT"/>
              </w:rPr>
              <w:t>: De acordo com a abordagem dos direitos humanos, há uma mudança clara de uma abordagem médica para uma abordagem sociopedagógica?</w:t>
            </w:r>
          </w:p>
        </w:tc>
        <w:tc>
          <w:tcPr>
            <w:tcW w:w="500" w:type="pct"/>
          </w:tcPr>
          <w:p w14:paraId="0AC211D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35F94245" w14:textId="77777777" w:rsidTr="00C01411">
        <w:trPr>
          <w:cantSplit/>
        </w:trPr>
        <w:tc>
          <w:tcPr>
            <w:tcW w:w="2250" w:type="pct"/>
          </w:tcPr>
          <w:p w14:paraId="10F318F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1.2.3</w:t>
            </w:r>
            <w:r w:rsidRPr="00893AA5">
              <w:rPr>
                <w:rFonts w:asciiTheme="majorHAnsi" w:hAnsiTheme="majorHAnsi" w:cstheme="majorHAnsi"/>
                <w:sz w:val="22"/>
                <w:lang w:bidi="pt-PT"/>
              </w:rPr>
              <w:t>: Existe algum indicador que mostre evidências da implementação da abordagem sociopedagógica?</w:t>
            </w:r>
          </w:p>
        </w:tc>
        <w:tc>
          <w:tcPr>
            <w:tcW w:w="500" w:type="pct"/>
          </w:tcPr>
          <w:p w14:paraId="5910E05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7E64001" w14:textId="77777777" w:rsidTr="00C01411">
        <w:trPr>
          <w:cantSplit/>
        </w:trPr>
        <w:tc>
          <w:tcPr>
            <w:tcW w:w="2250" w:type="pct"/>
          </w:tcPr>
          <w:p w14:paraId="36702E5A"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8AF120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893AA5" w:rsidRDefault="00776FBF" w:rsidP="00591FE3">
            <w:pPr>
              <w:pStyle w:val="Agency-body-text"/>
              <w:rPr>
                <w:rFonts w:asciiTheme="majorHAnsi" w:hAnsiTheme="majorHAnsi" w:cstheme="majorHAnsi"/>
                <w:sz w:val="22"/>
                <w:szCs w:val="22"/>
              </w:rPr>
            </w:pPr>
          </w:p>
        </w:tc>
      </w:tr>
    </w:tbl>
    <w:p w14:paraId="07325CE7" w14:textId="6CCDC847"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1.3: Existem políticas e estratégias em vigor que promovem um </w:t>
      </w:r>
      <w:r w:rsidRPr="00893AA5">
        <w:rPr>
          <w:rFonts w:asciiTheme="majorHAnsi" w:hAnsiTheme="majorHAnsi" w:cstheme="majorHAnsi"/>
          <w:i/>
          <w:lang w:bidi="pt-PT"/>
        </w:rPr>
        <w:t>entendimento comum</w:t>
      </w:r>
      <w:r w:rsidRPr="00893AA5">
        <w:rPr>
          <w:rFonts w:asciiTheme="majorHAnsi" w:hAnsiTheme="majorHAnsi" w:cstheme="majorHAnsi"/>
          <w:lang w:bidi="pt-PT"/>
        </w:rPr>
        <w:t xml:space="preserve"> da educação inclusiva entre os setores regular e especializado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309F836D" w14:textId="77777777" w:rsidTr="00C01411">
        <w:trPr>
          <w:cantSplit/>
          <w:tblHeader/>
        </w:trPr>
        <w:tc>
          <w:tcPr>
            <w:tcW w:w="2250" w:type="pct"/>
            <w:shd w:val="clear" w:color="auto" w:fill="D9D9D9" w:themeFill="background1" w:themeFillShade="D9"/>
          </w:tcPr>
          <w:p w14:paraId="3222CB0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7BD3C5D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06591A4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2351DB8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16608E30"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113B7260"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2AF89578" w14:textId="77777777" w:rsidTr="00C01411">
        <w:trPr>
          <w:cantSplit/>
        </w:trPr>
        <w:tc>
          <w:tcPr>
            <w:tcW w:w="2250" w:type="pct"/>
          </w:tcPr>
          <w:p w14:paraId="7281A91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1.3.1</w:t>
            </w:r>
            <w:r w:rsidRPr="00893AA5">
              <w:rPr>
                <w:rFonts w:asciiTheme="majorHAnsi" w:hAnsiTheme="majorHAnsi" w:cstheme="majorHAnsi"/>
                <w:sz w:val="22"/>
                <w:lang w:bidi="pt-PT"/>
              </w:rPr>
              <w:t>: Existem espaços de diálogo colaborativo estabelecidos para as partes interessadas a partir dos serviços regulares e especializados?</w:t>
            </w:r>
          </w:p>
        </w:tc>
        <w:tc>
          <w:tcPr>
            <w:tcW w:w="500" w:type="pct"/>
          </w:tcPr>
          <w:p w14:paraId="733FBB0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4678BFE" w14:textId="77777777" w:rsidTr="00C01411">
        <w:trPr>
          <w:cantSplit/>
        </w:trPr>
        <w:tc>
          <w:tcPr>
            <w:tcW w:w="2250" w:type="pct"/>
          </w:tcPr>
          <w:p w14:paraId="1D8AE82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1.3.2</w:t>
            </w:r>
            <w:r w:rsidRPr="00893AA5">
              <w:rPr>
                <w:rFonts w:asciiTheme="majorHAnsi" w:hAnsiTheme="majorHAnsi" w:cstheme="majorHAnsi"/>
                <w:sz w:val="22"/>
                <w:lang w:bidi="pt-PT"/>
              </w:rPr>
              <w:t>: Existe um conjunto de medidas que permita o desenvolvimento de uma linguagem comum entre os setores regular e especializado?</w:t>
            </w:r>
          </w:p>
        </w:tc>
        <w:tc>
          <w:tcPr>
            <w:tcW w:w="500" w:type="pct"/>
          </w:tcPr>
          <w:p w14:paraId="74F7CAB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43BA82E" w14:textId="77777777" w:rsidTr="00C01411">
        <w:trPr>
          <w:cantSplit/>
        </w:trPr>
        <w:tc>
          <w:tcPr>
            <w:tcW w:w="2250" w:type="pct"/>
          </w:tcPr>
          <w:p w14:paraId="33724FF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1.3.3</w:t>
            </w:r>
            <w:r w:rsidRPr="00893AA5">
              <w:rPr>
                <w:rFonts w:asciiTheme="majorHAnsi" w:hAnsiTheme="majorHAnsi" w:cstheme="majorHAnsi"/>
                <w:sz w:val="22"/>
                <w:lang w:bidi="pt-PT"/>
              </w:rPr>
              <w:t>: Existem indicadores para avaliar o nível de compreensão do conceito de educação inclusiva entre profissionais dos serviços regulares e especializados?</w:t>
            </w:r>
          </w:p>
        </w:tc>
        <w:tc>
          <w:tcPr>
            <w:tcW w:w="500" w:type="pct"/>
          </w:tcPr>
          <w:p w14:paraId="43717AA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D2A2C3D" w14:textId="77777777" w:rsidTr="00C01411">
        <w:trPr>
          <w:cantSplit/>
        </w:trPr>
        <w:tc>
          <w:tcPr>
            <w:tcW w:w="2250" w:type="pct"/>
          </w:tcPr>
          <w:p w14:paraId="0FAFC9A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65D6BB9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893AA5" w:rsidRDefault="00776FBF" w:rsidP="00591FE3">
            <w:pPr>
              <w:pStyle w:val="Agency-body-text"/>
              <w:rPr>
                <w:rFonts w:asciiTheme="majorHAnsi" w:hAnsiTheme="majorHAnsi" w:cstheme="majorHAnsi"/>
                <w:sz w:val="22"/>
                <w:szCs w:val="22"/>
              </w:rPr>
            </w:pPr>
          </w:p>
        </w:tc>
      </w:tr>
    </w:tbl>
    <w:p w14:paraId="45EFFC06" w14:textId="17DBA046" w:rsidR="00776FBF" w:rsidRPr="00893AA5" w:rsidRDefault="00776FBF" w:rsidP="00591FE3">
      <w:pPr>
        <w:pStyle w:val="Agency-heading-2"/>
        <w:rPr>
          <w:rFonts w:asciiTheme="majorHAnsi" w:eastAsiaTheme="minorHAnsi" w:hAnsiTheme="majorHAnsi" w:cstheme="majorHAnsi"/>
        </w:rPr>
      </w:pPr>
      <w:bookmarkStart w:id="8" w:name="_Toc128142430"/>
      <w:r w:rsidRPr="00893AA5">
        <w:rPr>
          <w:rFonts w:asciiTheme="majorHAnsi" w:hAnsiTheme="majorHAnsi" w:cstheme="majorHAnsi"/>
          <w:lang w:bidi="pt-PT"/>
        </w:rPr>
        <w:t>Princípio orientador 2: Promover a troca de conhecimentos e adquirir competências inclusivas através da cooperação e do trabalho em rede</w:t>
      </w:r>
      <w:bookmarkEnd w:id="8"/>
    </w:p>
    <w:p w14:paraId="22A4402F" w14:textId="3327FD4A" w:rsidR="00776FBF" w:rsidRPr="00893AA5" w:rsidRDefault="00776FBF" w:rsidP="00591FE3">
      <w:pPr>
        <w:pStyle w:val="Agency-heading-3"/>
        <w:rPr>
          <w:rFonts w:asciiTheme="majorHAnsi" w:hAnsiTheme="majorHAnsi" w:cstheme="majorHAnsi"/>
          <w:bCs/>
          <w:i/>
          <w:iCs/>
        </w:rPr>
      </w:pPr>
      <w:r w:rsidRPr="00893AA5">
        <w:rPr>
          <w:rFonts w:asciiTheme="majorHAnsi" w:hAnsiTheme="majorHAnsi" w:cstheme="majorHAnsi"/>
          <w:lang w:bidi="pt-PT"/>
        </w:rPr>
        <w:t xml:space="preserve">Prioridade/estratégia política 2.1: As políticas e estratégias apoiam a partilha de conhecimento através do desenvolvimento de </w:t>
      </w:r>
      <w:r w:rsidRPr="00893AA5">
        <w:rPr>
          <w:rFonts w:asciiTheme="majorHAnsi" w:hAnsiTheme="majorHAnsi" w:cstheme="majorHAnsi"/>
          <w:i/>
          <w:lang w:bidi="pt-PT"/>
        </w:rPr>
        <w:t>comunidades de aprendizagem profissional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60B33AF7" w14:textId="77777777" w:rsidTr="00C01411">
        <w:trPr>
          <w:cantSplit/>
          <w:tblHeader/>
        </w:trPr>
        <w:tc>
          <w:tcPr>
            <w:tcW w:w="2250" w:type="pct"/>
            <w:shd w:val="clear" w:color="auto" w:fill="D9D9D9" w:themeFill="background1" w:themeFillShade="D9"/>
          </w:tcPr>
          <w:p w14:paraId="123F01E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1639931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39CC1FA9"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66E7757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5892B66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0F6CEC5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00C67DC0" w14:textId="77777777" w:rsidTr="00C01411">
        <w:trPr>
          <w:cantSplit/>
        </w:trPr>
        <w:tc>
          <w:tcPr>
            <w:tcW w:w="2250" w:type="pct"/>
          </w:tcPr>
          <w:p w14:paraId="56E9F78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2.1.1</w:t>
            </w:r>
            <w:r w:rsidRPr="00893AA5">
              <w:rPr>
                <w:rFonts w:asciiTheme="majorHAnsi" w:hAnsiTheme="majorHAnsi" w:cstheme="majorHAnsi"/>
                <w:sz w:val="22"/>
                <w:lang w:bidi="pt-PT"/>
              </w:rPr>
              <w:t>: Existem plataformas colaborativas que promovam a cooperação entre profissionais dos serviços regulares e especializados?</w:t>
            </w:r>
          </w:p>
        </w:tc>
        <w:tc>
          <w:tcPr>
            <w:tcW w:w="500" w:type="pct"/>
          </w:tcPr>
          <w:p w14:paraId="68C9380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3528B7D" w14:textId="77777777" w:rsidTr="00C01411">
        <w:trPr>
          <w:cantSplit/>
        </w:trPr>
        <w:tc>
          <w:tcPr>
            <w:tcW w:w="2250" w:type="pct"/>
          </w:tcPr>
          <w:p w14:paraId="59D2E61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2.1.2</w:t>
            </w:r>
            <w:r w:rsidRPr="00893AA5">
              <w:rPr>
                <w:rFonts w:asciiTheme="majorHAnsi" w:hAnsiTheme="majorHAnsi" w:cstheme="majorHAnsi"/>
                <w:sz w:val="22"/>
                <w:lang w:bidi="pt-PT"/>
              </w:rPr>
              <w:t>: Há partilha de conhecimento em apoio às escolas na criação de ambientes de aprendizagem inclusivos e de alta qualidade?</w:t>
            </w:r>
          </w:p>
        </w:tc>
        <w:tc>
          <w:tcPr>
            <w:tcW w:w="500" w:type="pct"/>
          </w:tcPr>
          <w:p w14:paraId="0AD3218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B6C5B1D" w14:textId="77777777" w:rsidTr="00C01411">
        <w:trPr>
          <w:cantSplit/>
        </w:trPr>
        <w:tc>
          <w:tcPr>
            <w:tcW w:w="2250" w:type="pct"/>
          </w:tcPr>
          <w:p w14:paraId="10BDDF0E" w14:textId="014D9D05"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2.1.3</w:t>
            </w:r>
            <w:r w:rsidRPr="00893AA5">
              <w:rPr>
                <w:rFonts w:asciiTheme="majorHAnsi" w:hAnsiTheme="majorHAnsi" w:cstheme="majorHAnsi"/>
                <w:sz w:val="22"/>
                <w:lang w:bidi="pt-PT"/>
              </w:rPr>
              <w:t>: Todas as tarefas e funções das partes interessadas estão claramente definidas?</w:t>
            </w:r>
          </w:p>
        </w:tc>
        <w:tc>
          <w:tcPr>
            <w:tcW w:w="500" w:type="pct"/>
          </w:tcPr>
          <w:p w14:paraId="5F22C8B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4F7BE71" w14:textId="77777777" w:rsidTr="00C01411">
        <w:trPr>
          <w:cantSplit/>
        </w:trPr>
        <w:tc>
          <w:tcPr>
            <w:tcW w:w="2250" w:type="pct"/>
          </w:tcPr>
          <w:p w14:paraId="66F03B87"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lastRenderedPageBreak/>
              <w:t xml:space="preserve">Outros </w:t>
            </w:r>
            <w:r w:rsidRPr="00893AA5">
              <w:rPr>
                <w:rFonts w:asciiTheme="majorHAnsi" w:hAnsiTheme="majorHAnsi" w:cstheme="majorHAnsi"/>
                <w:i/>
                <w:sz w:val="22"/>
                <w:lang w:bidi="pt-PT"/>
              </w:rPr>
              <w:t>(especifique)</w:t>
            </w:r>
          </w:p>
        </w:tc>
        <w:tc>
          <w:tcPr>
            <w:tcW w:w="500" w:type="pct"/>
          </w:tcPr>
          <w:p w14:paraId="29289BA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893AA5" w:rsidRDefault="00776FBF" w:rsidP="00591FE3">
            <w:pPr>
              <w:pStyle w:val="Agency-body-text"/>
              <w:rPr>
                <w:rFonts w:asciiTheme="majorHAnsi" w:hAnsiTheme="majorHAnsi" w:cstheme="majorHAnsi"/>
                <w:sz w:val="22"/>
                <w:szCs w:val="22"/>
              </w:rPr>
            </w:pPr>
          </w:p>
        </w:tc>
      </w:tr>
    </w:tbl>
    <w:p w14:paraId="0F51E42C" w14:textId="7CCF1ED5"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2.2: A transformação de escolas especiais em centros de recursos garante a </w:t>
      </w:r>
      <w:r w:rsidRPr="00893AA5">
        <w:rPr>
          <w:rFonts w:asciiTheme="majorHAnsi" w:hAnsiTheme="majorHAnsi" w:cstheme="majorHAnsi"/>
          <w:i/>
          <w:lang w:bidi="pt-PT"/>
        </w:rPr>
        <w:t>troca de conhecimento</w:t>
      </w:r>
      <w:r w:rsidRPr="00893AA5">
        <w:rPr>
          <w:rFonts w:asciiTheme="majorHAnsi" w:hAnsiTheme="majorHAnsi" w:cstheme="majorHAnsi"/>
          <w:lang w:bidi="pt-PT"/>
        </w:rPr>
        <w:t xml:space="preserve"> entre profissionais dos setores especializado e regular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0428C251" w14:textId="77777777" w:rsidTr="00C01411">
        <w:trPr>
          <w:cantSplit/>
          <w:tblHeader/>
        </w:trPr>
        <w:tc>
          <w:tcPr>
            <w:tcW w:w="2250" w:type="pct"/>
            <w:shd w:val="clear" w:color="auto" w:fill="D9D9D9" w:themeFill="background1" w:themeFillShade="D9"/>
          </w:tcPr>
          <w:p w14:paraId="53AB2DC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6907CAD6"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6AFD5FA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154ADFA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7472279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5A65883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5274066E" w14:textId="77777777" w:rsidTr="00C01411">
        <w:trPr>
          <w:cantSplit/>
        </w:trPr>
        <w:tc>
          <w:tcPr>
            <w:tcW w:w="2250" w:type="pct"/>
          </w:tcPr>
          <w:p w14:paraId="2AB34058"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2.2.1</w:t>
            </w:r>
            <w:r w:rsidRPr="00893AA5">
              <w:rPr>
                <w:rFonts w:asciiTheme="majorHAnsi" w:hAnsiTheme="majorHAnsi" w:cstheme="majorHAnsi"/>
                <w:sz w:val="22"/>
                <w:lang w:bidi="pt-PT"/>
              </w:rPr>
              <w:t>: Existem medidas que incentivem profissionais dos serviços especializados a partilhar os seus conhecimentos e competências em ambientes regulares?</w:t>
            </w:r>
          </w:p>
        </w:tc>
        <w:tc>
          <w:tcPr>
            <w:tcW w:w="500" w:type="pct"/>
          </w:tcPr>
          <w:p w14:paraId="39B83C2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F17DACE" w14:textId="77777777" w:rsidTr="00C01411">
        <w:trPr>
          <w:cantSplit/>
        </w:trPr>
        <w:tc>
          <w:tcPr>
            <w:tcW w:w="2250" w:type="pct"/>
          </w:tcPr>
          <w:p w14:paraId="48278B71" w14:textId="77777777" w:rsidR="00776FBF" w:rsidRPr="00893AA5" w:rsidRDefault="00776FBF" w:rsidP="00591FE3">
            <w:pPr>
              <w:pStyle w:val="Agency-body-text"/>
              <w:rPr>
                <w:rFonts w:asciiTheme="majorHAnsi" w:hAnsiTheme="majorHAnsi" w:cstheme="majorHAnsi"/>
                <w:bCs/>
                <w:sz w:val="22"/>
                <w:szCs w:val="22"/>
              </w:rPr>
            </w:pPr>
            <w:r w:rsidRPr="00893AA5">
              <w:rPr>
                <w:rFonts w:asciiTheme="majorHAnsi" w:hAnsiTheme="majorHAnsi" w:cstheme="majorHAnsi"/>
                <w:b/>
                <w:sz w:val="22"/>
                <w:lang w:bidi="pt-PT"/>
              </w:rPr>
              <w:t>2.2.2</w:t>
            </w:r>
            <w:r w:rsidRPr="00893AA5">
              <w:rPr>
                <w:rFonts w:asciiTheme="majorHAnsi" w:hAnsiTheme="majorHAnsi" w:cstheme="majorHAnsi"/>
                <w:sz w:val="22"/>
                <w:lang w:bidi="pt-PT"/>
              </w:rPr>
              <w:t>: Existem indicadores para avaliar a extensão dessa transferência de conhecimento e competências?</w:t>
            </w:r>
          </w:p>
        </w:tc>
        <w:tc>
          <w:tcPr>
            <w:tcW w:w="500" w:type="pct"/>
          </w:tcPr>
          <w:p w14:paraId="301D53F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746CF927" w14:textId="77777777" w:rsidTr="00C01411">
        <w:trPr>
          <w:cantSplit/>
        </w:trPr>
        <w:tc>
          <w:tcPr>
            <w:tcW w:w="2250" w:type="pct"/>
          </w:tcPr>
          <w:p w14:paraId="2131C6C9" w14:textId="77777777" w:rsidR="00776FBF" w:rsidRPr="00893AA5" w:rsidRDefault="00776FBF" w:rsidP="00591FE3">
            <w:pPr>
              <w:pStyle w:val="Agency-body-text"/>
              <w:rPr>
                <w:rFonts w:asciiTheme="majorHAnsi" w:hAnsiTheme="majorHAnsi" w:cstheme="majorHAnsi"/>
                <w:bCs/>
                <w:sz w:val="22"/>
                <w:szCs w:val="22"/>
              </w:rPr>
            </w:pPr>
            <w:r w:rsidRPr="00893AA5">
              <w:rPr>
                <w:rFonts w:asciiTheme="majorHAnsi" w:hAnsiTheme="majorHAnsi" w:cstheme="majorHAnsi"/>
                <w:b/>
                <w:sz w:val="22"/>
                <w:lang w:bidi="pt-PT"/>
              </w:rPr>
              <w:t>2.2.3</w:t>
            </w:r>
            <w:r w:rsidRPr="00893AA5">
              <w:rPr>
                <w:rFonts w:asciiTheme="majorHAnsi" w:hAnsiTheme="majorHAnsi" w:cstheme="majorHAnsi"/>
                <w:sz w:val="22"/>
                <w:lang w:bidi="pt-PT"/>
              </w:rPr>
              <w:t>: Existem medidas de financiamento e governação para garantir uma definição clara das tarefas e funções de todas as partes interessadas?</w:t>
            </w:r>
          </w:p>
        </w:tc>
        <w:tc>
          <w:tcPr>
            <w:tcW w:w="500" w:type="pct"/>
          </w:tcPr>
          <w:p w14:paraId="0DA3DE7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23032A0" w14:textId="77777777" w:rsidTr="00C01411">
        <w:trPr>
          <w:cantSplit/>
        </w:trPr>
        <w:tc>
          <w:tcPr>
            <w:tcW w:w="2250" w:type="pct"/>
          </w:tcPr>
          <w:p w14:paraId="139F426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5FC45A2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893AA5" w:rsidRDefault="00776FBF" w:rsidP="00591FE3">
            <w:pPr>
              <w:pStyle w:val="Agency-body-text"/>
              <w:rPr>
                <w:rFonts w:asciiTheme="majorHAnsi" w:hAnsiTheme="majorHAnsi" w:cstheme="majorHAnsi"/>
                <w:sz w:val="22"/>
                <w:szCs w:val="22"/>
              </w:rPr>
            </w:pPr>
          </w:p>
        </w:tc>
      </w:tr>
    </w:tbl>
    <w:p w14:paraId="0E12CC84" w14:textId="3645B0D7"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lastRenderedPageBreak/>
        <w:t xml:space="preserve">Prioridade/estratégia política 2.3: A </w:t>
      </w:r>
      <w:r w:rsidRPr="00893AA5">
        <w:rPr>
          <w:rFonts w:asciiTheme="majorHAnsi" w:hAnsiTheme="majorHAnsi" w:cstheme="majorHAnsi"/>
          <w:i/>
          <w:lang w:bidi="pt-PT"/>
        </w:rPr>
        <w:t>prestação de um continuum de apoio</w:t>
      </w:r>
      <w:r w:rsidRPr="00893AA5">
        <w:rPr>
          <w:rFonts w:asciiTheme="majorHAnsi" w:hAnsiTheme="majorHAnsi" w:cstheme="majorHAnsi"/>
          <w:lang w:bidi="pt-PT"/>
        </w:rPr>
        <w:t xml:space="preserve"> por parte dos profissionais permite que profissionais, famílias e alunos do ensino regular adquiram competências inclusivas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2B1AD506" w14:textId="77777777" w:rsidTr="00C01411">
        <w:trPr>
          <w:cantSplit/>
          <w:tblHeader/>
        </w:trPr>
        <w:tc>
          <w:tcPr>
            <w:tcW w:w="2250" w:type="pct"/>
            <w:shd w:val="clear" w:color="auto" w:fill="D9D9D9" w:themeFill="background1" w:themeFillShade="D9"/>
          </w:tcPr>
          <w:p w14:paraId="023C93C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68FD65F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5C3DDBE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4C29DA40"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7CA69EF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1F2D622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05655DB0" w14:textId="77777777" w:rsidTr="00C01411">
        <w:trPr>
          <w:cantSplit/>
        </w:trPr>
        <w:tc>
          <w:tcPr>
            <w:tcW w:w="2250" w:type="pct"/>
          </w:tcPr>
          <w:p w14:paraId="3F6B07C5"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2.3.1</w:t>
            </w:r>
            <w:r w:rsidRPr="00893AA5">
              <w:rPr>
                <w:rFonts w:asciiTheme="majorHAnsi" w:hAnsiTheme="majorHAnsi" w:cstheme="majorHAnsi"/>
                <w:sz w:val="22"/>
                <w:lang w:bidi="pt-PT"/>
              </w:rPr>
              <w:t xml:space="preserve">: Existem medidas para garantir um </w:t>
            </w:r>
            <w:r w:rsidRPr="00893AA5">
              <w:rPr>
                <w:rFonts w:asciiTheme="majorHAnsi" w:hAnsiTheme="majorHAnsi" w:cstheme="majorHAnsi"/>
                <w:i/>
                <w:sz w:val="22"/>
                <w:lang w:bidi="pt-PT"/>
              </w:rPr>
              <w:t>continuum</w:t>
            </w:r>
            <w:r w:rsidRPr="00893AA5">
              <w:rPr>
                <w:rFonts w:asciiTheme="majorHAnsi" w:hAnsiTheme="majorHAnsi" w:cstheme="majorHAnsi"/>
                <w:sz w:val="22"/>
                <w:lang w:bidi="pt-PT"/>
              </w:rPr>
              <w:t xml:space="preserve"> de apoio?</w:t>
            </w:r>
          </w:p>
        </w:tc>
        <w:tc>
          <w:tcPr>
            <w:tcW w:w="500" w:type="pct"/>
          </w:tcPr>
          <w:p w14:paraId="0815DA1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25E8A25" w14:textId="77777777" w:rsidTr="00C01411">
        <w:trPr>
          <w:cantSplit/>
        </w:trPr>
        <w:tc>
          <w:tcPr>
            <w:tcW w:w="2250" w:type="pct"/>
          </w:tcPr>
          <w:p w14:paraId="1CC7CABC"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2.3.2</w:t>
            </w:r>
            <w:r w:rsidRPr="00893AA5">
              <w:rPr>
                <w:rFonts w:asciiTheme="majorHAnsi" w:hAnsiTheme="majorHAnsi" w:cstheme="majorHAnsi"/>
                <w:sz w:val="22"/>
                <w:lang w:bidi="pt-PT"/>
              </w:rPr>
              <w:t>: Existem alternativas e oportunidades de apoio oferecidas aos profissionais, famílias e alunos do ensino regular?</w:t>
            </w:r>
          </w:p>
        </w:tc>
        <w:tc>
          <w:tcPr>
            <w:tcW w:w="500" w:type="pct"/>
          </w:tcPr>
          <w:p w14:paraId="37B93EB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36328CA4" w14:textId="77777777" w:rsidTr="00C01411">
        <w:trPr>
          <w:cantSplit/>
        </w:trPr>
        <w:tc>
          <w:tcPr>
            <w:tcW w:w="2250" w:type="pct"/>
          </w:tcPr>
          <w:p w14:paraId="5FE68E3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2.3.3</w:t>
            </w:r>
            <w:r w:rsidRPr="00893AA5">
              <w:rPr>
                <w:rFonts w:asciiTheme="majorHAnsi" w:hAnsiTheme="majorHAnsi" w:cstheme="majorHAnsi"/>
                <w:sz w:val="22"/>
                <w:lang w:bidi="pt-PT"/>
              </w:rPr>
              <w:t xml:space="preserve">: Existem indicadores para avaliar a qualidade do </w:t>
            </w:r>
            <w:r w:rsidRPr="00893AA5">
              <w:rPr>
                <w:rFonts w:asciiTheme="majorHAnsi" w:hAnsiTheme="majorHAnsi" w:cstheme="majorHAnsi"/>
                <w:i/>
                <w:sz w:val="22"/>
                <w:lang w:bidi="pt-PT"/>
              </w:rPr>
              <w:t>continuum</w:t>
            </w:r>
            <w:r w:rsidRPr="00893AA5">
              <w:rPr>
                <w:rFonts w:asciiTheme="majorHAnsi" w:hAnsiTheme="majorHAnsi" w:cstheme="majorHAnsi"/>
                <w:sz w:val="22"/>
                <w:lang w:bidi="pt-PT"/>
              </w:rPr>
              <w:t xml:space="preserve"> de apoio fornecido?</w:t>
            </w:r>
          </w:p>
        </w:tc>
        <w:tc>
          <w:tcPr>
            <w:tcW w:w="500" w:type="pct"/>
          </w:tcPr>
          <w:p w14:paraId="2AEBFAC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1EC731E8" w14:textId="77777777" w:rsidTr="00C01411">
        <w:trPr>
          <w:cantSplit/>
        </w:trPr>
        <w:tc>
          <w:tcPr>
            <w:tcW w:w="2250" w:type="pct"/>
          </w:tcPr>
          <w:p w14:paraId="4C4A504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59F7D3A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893AA5" w:rsidRDefault="00776FBF" w:rsidP="00591FE3">
            <w:pPr>
              <w:pStyle w:val="Agency-body-text"/>
              <w:rPr>
                <w:rFonts w:asciiTheme="majorHAnsi" w:hAnsiTheme="majorHAnsi" w:cstheme="majorHAnsi"/>
                <w:sz w:val="22"/>
                <w:szCs w:val="22"/>
              </w:rPr>
            </w:pPr>
          </w:p>
        </w:tc>
      </w:tr>
    </w:tbl>
    <w:p w14:paraId="5AD25D1B" w14:textId="297B2A3A" w:rsidR="00776FBF" w:rsidRPr="00893AA5" w:rsidRDefault="00776FBF" w:rsidP="00591FE3">
      <w:pPr>
        <w:pStyle w:val="Agency-heading-2"/>
        <w:rPr>
          <w:rFonts w:asciiTheme="majorHAnsi" w:hAnsiTheme="majorHAnsi" w:cstheme="majorHAnsi"/>
        </w:rPr>
      </w:pPr>
      <w:bookmarkStart w:id="9" w:name="_Toc128142431"/>
      <w:r w:rsidRPr="00893AA5">
        <w:rPr>
          <w:rFonts w:asciiTheme="majorHAnsi" w:hAnsiTheme="majorHAnsi" w:cstheme="majorHAnsi"/>
          <w:lang w:bidi="pt-PT"/>
        </w:rPr>
        <w:t>Princípio orientador 3: Facultar formação profissional contínua sobre inclusão</w:t>
      </w:r>
      <w:bookmarkEnd w:id="9"/>
    </w:p>
    <w:p w14:paraId="534ACE1E" w14:textId="0B71EA9C"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3.1: As oportunidades de formação profissional promovem uma </w:t>
      </w:r>
      <w:r w:rsidRPr="00893AA5">
        <w:rPr>
          <w:rFonts w:asciiTheme="majorHAnsi" w:hAnsiTheme="majorHAnsi" w:cstheme="majorHAnsi"/>
          <w:i/>
          <w:lang w:bidi="pt-PT"/>
        </w:rPr>
        <w:t>linguagem comum</w:t>
      </w:r>
      <w:r w:rsidRPr="00893AA5">
        <w:rPr>
          <w:rFonts w:asciiTheme="majorHAnsi" w:hAnsiTheme="majorHAnsi" w:cstheme="majorHAnsi"/>
          <w:lang w:bidi="pt-PT"/>
        </w:rPr>
        <w:t xml:space="preserve"> sobre a inclusão para todos os alunos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504E4618" w14:textId="77777777" w:rsidTr="00C01411">
        <w:trPr>
          <w:cantSplit/>
          <w:tblHeader/>
        </w:trPr>
        <w:tc>
          <w:tcPr>
            <w:tcW w:w="2250" w:type="pct"/>
            <w:shd w:val="clear" w:color="auto" w:fill="D9D9D9" w:themeFill="background1" w:themeFillShade="D9"/>
          </w:tcPr>
          <w:p w14:paraId="77D231A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55C7F54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7319EA1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4435E512"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62A1BB4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719A878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36D0D7D4" w14:textId="77777777" w:rsidTr="00C01411">
        <w:trPr>
          <w:cantSplit/>
        </w:trPr>
        <w:tc>
          <w:tcPr>
            <w:tcW w:w="2250" w:type="pct"/>
          </w:tcPr>
          <w:p w14:paraId="65E3F0E4" w14:textId="027CA73D"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3.1.1</w:t>
            </w:r>
            <w:r w:rsidRPr="00893AA5">
              <w:rPr>
                <w:rFonts w:asciiTheme="majorHAnsi" w:hAnsiTheme="majorHAnsi" w:cstheme="majorHAnsi"/>
                <w:sz w:val="22"/>
                <w:lang w:bidi="pt-PT"/>
              </w:rPr>
              <w:t>: Os conceitos-chave e princípios de inclusão estão incorporados nas oportunidades de formação profissional contínua?</w:t>
            </w:r>
          </w:p>
        </w:tc>
        <w:tc>
          <w:tcPr>
            <w:tcW w:w="500" w:type="pct"/>
          </w:tcPr>
          <w:p w14:paraId="749D436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69876C9" w14:textId="77777777" w:rsidTr="00C01411">
        <w:trPr>
          <w:cantSplit/>
        </w:trPr>
        <w:tc>
          <w:tcPr>
            <w:tcW w:w="2250" w:type="pct"/>
          </w:tcPr>
          <w:p w14:paraId="04F4A687" w14:textId="77777777" w:rsidR="00776FBF" w:rsidRPr="00893AA5" w:rsidRDefault="00776FBF" w:rsidP="00591FE3">
            <w:pPr>
              <w:rPr>
                <w:rFonts w:asciiTheme="majorHAnsi" w:hAnsiTheme="majorHAnsi" w:cstheme="majorHAnsi"/>
                <w:sz w:val="22"/>
                <w:szCs w:val="22"/>
                <w:lang w:eastAsia="en-GB"/>
              </w:rPr>
            </w:pPr>
            <w:r w:rsidRPr="00893AA5">
              <w:rPr>
                <w:rFonts w:asciiTheme="majorHAnsi" w:hAnsiTheme="majorHAnsi" w:cstheme="majorHAnsi"/>
                <w:b/>
                <w:sz w:val="22"/>
                <w:lang w:bidi="pt-PT"/>
              </w:rPr>
              <w:t>3.1.2</w:t>
            </w:r>
            <w:r w:rsidRPr="00893AA5">
              <w:rPr>
                <w:rFonts w:asciiTheme="majorHAnsi" w:hAnsiTheme="majorHAnsi" w:cstheme="majorHAnsi"/>
                <w:sz w:val="22"/>
                <w:lang w:bidi="pt-PT"/>
              </w:rPr>
              <w:t xml:space="preserve">: </w:t>
            </w:r>
            <w:r w:rsidRPr="00893AA5">
              <w:rPr>
                <w:rStyle w:val="Agency-body-textChar"/>
                <w:rFonts w:asciiTheme="majorHAnsi" w:hAnsiTheme="majorHAnsi" w:cstheme="majorHAnsi"/>
                <w:sz w:val="22"/>
                <w:lang w:bidi="pt-PT"/>
              </w:rPr>
              <w:t>Existem medidas para garantir formação/cursos conjuntos para profissionais dos setores regular e especializado?</w:t>
            </w:r>
          </w:p>
        </w:tc>
        <w:tc>
          <w:tcPr>
            <w:tcW w:w="500" w:type="pct"/>
          </w:tcPr>
          <w:p w14:paraId="38A5399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586CAD0" w14:textId="77777777" w:rsidTr="00C01411">
        <w:trPr>
          <w:cantSplit/>
        </w:trPr>
        <w:tc>
          <w:tcPr>
            <w:tcW w:w="2250" w:type="pct"/>
          </w:tcPr>
          <w:p w14:paraId="2211BB36" w14:textId="41205BCF"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3.1.3</w:t>
            </w:r>
            <w:r w:rsidRPr="00893AA5">
              <w:rPr>
                <w:rFonts w:asciiTheme="majorHAnsi" w:hAnsiTheme="majorHAnsi" w:cstheme="majorHAnsi"/>
                <w:sz w:val="22"/>
                <w:lang w:bidi="pt-PT"/>
              </w:rPr>
              <w:t>: Existem medidas que garantam que as oportunidades de formação profissional incluam contributos e experiência de profissionais que lidam com alunos diversos?</w:t>
            </w:r>
          </w:p>
        </w:tc>
        <w:tc>
          <w:tcPr>
            <w:tcW w:w="500" w:type="pct"/>
          </w:tcPr>
          <w:p w14:paraId="1D47D75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8DB6281" w14:textId="77777777" w:rsidTr="00C01411">
        <w:trPr>
          <w:cantSplit/>
        </w:trPr>
        <w:tc>
          <w:tcPr>
            <w:tcW w:w="2250" w:type="pct"/>
          </w:tcPr>
          <w:p w14:paraId="1F1F50B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F67B34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893AA5" w:rsidRDefault="00776FBF" w:rsidP="00591FE3">
            <w:pPr>
              <w:pStyle w:val="Agency-body-text"/>
              <w:rPr>
                <w:rFonts w:asciiTheme="majorHAnsi" w:hAnsiTheme="majorHAnsi" w:cstheme="majorHAnsi"/>
                <w:sz w:val="22"/>
                <w:szCs w:val="22"/>
              </w:rPr>
            </w:pPr>
          </w:p>
        </w:tc>
      </w:tr>
    </w:tbl>
    <w:p w14:paraId="735EC64D" w14:textId="55CFA5AA"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3.2: Os profissionais dos setores regular e especializado estão equipados com </w:t>
      </w:r>
      <w:r w:rsidRPr="00893AA5">
        <w:rPr>
          <w:rFonts w:asciiTheme="majorHAnsi" w:hAnsiTheme="majorHAnsi" w:cstheme="majorHAnsi"/>
          <w:i/>
          <w:lang w:bidi="pt-PT"/>
        </w:rPr>
        <w:t>competências/aptidões, qualificações e ferramentas</w:t>
      </w:r>
      <w:r w:rsidRPr="00893AA5">
        <w:rPr>
          <w:rFonts w:asciiTheme="majorHAnsi" w:hAnsiTheme="majorHAnsi" w:cstheme="majorHAnsi"/>
          <w:lang w:bidi="pt-PT"/>
        </w:rPr>
        <w:t xml:space="preserve"> adequadas para trabalhar com grupos diversos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6D7D1871" w14:textId="77777777" w:rsidTr="00C01411">
        <w:trPr>
          <w:cantSplit/>
          <w:tblHeader/>
        </w:trPr>
        <w:tc>
          <w:tcPr>
            <w:tcW w:w="2250" w:type="pct"/>
            <w:shd w:val="clear" w:color="auto" w:fill="D9D9D9" w:themeFill="background1" w:themeFillShade="D9"/>
          </w:tcPr>
          <w:p w14:paraId="15EA773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5EEBC9D9"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16AB805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4C687DA0"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5FA8370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53548B9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5C86C226" w14:textId="77777777" w:rsidTr="00C01411">
        <w:trPr>
          <w:cantSplit/>
        </w:trPr>
        <w:tc>
          <w:tcPr>
            <w:tcW w:w="2250" w:type="pct"/>
          </w:tcPr>
          <w:p w14:paraId="731FA467" w14:textId="61927A3E"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3.2.1</w:t>
            </w:r>
            <w:r w:rsidRPr="00893AA5">
              <w:rPr>
                <w:rFonts w:asciiTheme="majorHAnsi" w:hAnsiTheme="majorHAnsi" w:cstheme="majorHAnsi"/>
                <w:sz w:val="22"/>
                <w:lang w:bidi="pt-PT"/>
              </w:rPr>
              <w:t>: Existem medidas para garantir que os currículos de formação inicial de professores incluam o conceito e os princípios da educação inclusiva?</w:t>
            </w:r>
          </w:p>
        </w:tc>
        <w:tc>
          <w:tcPr>
            <w:tcW w:w="500" w:type="pct"/>
          </w:tcPr>
          <w:p w14:paraId="1FF2FF4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81DF36A" w14:textId="77777777" w:rsidTr="00C01411">
        <w:trPr>
          <w:cantSplit/>
        </w:trPr>
        <w:tc>
          <w:tcPr>
            <w:tcW w:w="2250" w:type="pct"/>
          </w:tcPr>
          <w:p w14:paraId="38D30C77" w14:textId="05A4CFD0"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3.2.2</w:t>
            </w:r>
            <w:r w:rsidRPr="00893AA5">
              <w:rPr>
                <w:rFonts w:asciiTheme="majorHAnsi" w:hAnsiTheme="majorHAnsi" w:cstheme="majorHAnsi"/>
                <w:sz w:val="22"/>
                <w:lang w:bidi="pt-PT"/>
              </w:rPr>
              <w:t>: A pedagogia inclusiva está incorporada na formação profissional de professores em início de carreira e experientes, tanto do setor regular quanto do especializado?</w:t>
            </w:r>
          </w:p>
        </w:tc>
        <w:tc>
          <w:tcPr>
            <w:tcW w:w="500" w:type="pct"/>
          </w:tcPr>
          <w:p w14:paraId="1391F0D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7D3CB359" w14:textId="77777777" w:rsidTr="00C01411">
        <w:trPr>
          <w:cantSplit/>
        </w:trPr>
        <w:tc>
          <w:tcPr>
            <w:tcW w:w="2250" w:type="pct"/>
          </w:tcPr>
          <w:p w14:paraId="101006F2" w14:textId="0CBC6FB4"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3.2.3</w:t>
            </w:r>
            <w:r w:rsidRPr="00893AA5">
              <w:rPr>
                <w:rFonts w:asciiTheme="majorHAnsi" w:hAnsiTheme="majorHAnsi" w:cstheme="majorHAnsi"/>
                <w:sz w:val="22"/>
                <w:lang w:bidi="pt-PT"/>
              </w:rPr>
              <w:t>: Existem medidas para garantir oportunidades de formação contínua para todos os profissionais dos setores regular e especializado?</w:t>
            </w:r>
          </w:p>
        </w:tc>
        <w:tc>
          <w:tcPr>
            <w:tcW w:w="500" w:type="pct"/>
          </w:tcPr>
          <w:p w14:paraId="51E738C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4987303F" w14:textId="77777777" w:rsidTr="00C01411">
        <w:trPr>
          <w:cantSplit/>
        </w:trPr>
        <w:tc>
          <w:tcPr>
            <w:tcW w:w="2250" w:type="pct"/>
          </w:tcPr>
          <w:p w14:paraId="1CB95718"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D4EEDA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893AA5" w:rsidRDefault="00776FBF" w:rsidP="00591FE3">
            <w:pPr>
              <w:pStyle w:val="Agency-body-text"/>
              <w:rPr>
                <w:rFonts w:asciiTheme="majorHAnsi" w:hAnsiTheme="majorHAnsi" w:cstheme="majorHAnsi"/>
                <w:sz w:val="22"/>
                <w:szCs w:val="22"/>
              </w:rPr>
            </w:pPr>
          </w:p>
        </w:tc>
      </w:tr>
    </w:tbl>
    <w:p w14:paraId="6252C969" w14:textId="1B5CA6FF"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lastRenderedPageBreak/>
        <w:t xml:space="preserve">Prioridade/estratégia política 3.3: </w:t>
      </w:r>
      <w:r w:rsidRPr="00893AA5">
        <w:rPr>
          <w:rFonts w:asciiTheme="majorHAnsi" w:hAnsiTheme="majorHAnsi" w:cstheme="majorHAnsi"/>
          <w:i/>
          <w:lang w:bidi="pt-PT"/>
        </w:rPr>
        <w:t>Vincular</w:t>
      </w:r>
      <w:r w:rsidRPr="00893AA5">
        <w:rPr>
          <w:rFonts w:asciiTheme="majorHAnsi" w:hAnsiTheme="majorHAnsi" w:cstheme="majorHAnsi"/>
          <w:lang w:bidi="pt-PT"/>
        </w:rPr>
        <w:t xml:space="preserve"> oportunidades de formação profissional para professores dos setores regular e especializado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11594998" w14:textId="77777777" w:rsidTr="00C01411">
        <w:trPr>
          <w:cantSplit/>
          <w:tblHeader/>
        </w:trPr>
        <w:tc>
          <w:tcPr>
            <w:tcW w:w="2250" w:type="pct"/>
            <w:shd w:val="clear" w:color="auto" w:fill="D9D9D9" w:themeFill="background1" w:themeFillShade="D9"/>
          </w:tcPr>
          <w:p w14:paraId="1D05A9E6"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7D538D7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096798F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66647AD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37CAA4D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742382A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1007CA07" w14:textId="77777777" w:rsidTr="00C01411">
        <w:trPr>
          <w:cantSplit/>
        </w:trPr>
        <w:tc>
          <w:tcPr>
            <w:tcW w:w="2250" w:type="pct"/>
          </w:tcPr>
          <w:p w14:paraId="296913C7"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3.3.1</w:t>
            </w:r>
            <w:r w:rsidRPr="00893AA5">
              <w:rPr>
                <w:rFonts w:asciiTheme="majorHAnsi" w:hAnsiTheme="majorHAnsi" w:cstheme="majorHAnsi"/>
                <w:sz w:val="22"/>
                <w:lang w:bidi="pt-PT"/>
              </w:rPr>
              <w:t>: Existe alguma estrutura para que os profissionais colaborem?</w:t>
            </w:r>
          </w:p>
        </w:tc>
        <w:tc>
          <w:tcPr>
            <w:tcW w:w="500" w:type="pct"/>
          </w:tcPr>
          <w:p w14:paraId="3F287EA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3AD1F26" w14:textId="77777777" w:rsidTr="00C01411">
        <w:trPr>
          <w:cantSplit/>
        </w:trPr>
        <w:tc>
          <w:tcPr>
            <w:tcW w:w="2250" w:type="pct"/>
          </w:tcPr>
          <w:p w14:paraId="15DE1C67" w14:textId="4B688041"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3.3.2</w:t>
            </w:r>
            <w:r w:rsidRPr="00893AA5">
              <w:rPr>
                <w:rFonts w:asciiTheme="majorHAnsi" w:hAnsiTheme="majorHAnsi" w:cstheme="majorHAnsi"/>
                <w:sz w:val="22"/>
                <w:lang w:bidi="pt-PT"/>
              </w:rPr>
              <w:t>: A equipa dos serviços especializados fornece aconselhamento e apoio aos professores regulares sobre como trabalhar com grupos diversos?</w:t>
            </w:r>
          </w:p>
        </w:tc>
        <w:tc>
          <w:tcPr>
            <w:tcW w:w="500" w:type="pct"/>
          </w:tcPr>
          <w:p w14:paraId="04F4553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C983D17" w14:textId="77777777" w:rsidTr="00C01411">
        <w:trPr>
          <w:cantSplit/>
        </w:trPr>
        <w:tc>
          <w:tcPr>
            <w:tcW w:w="2250" w:type="pct"/>
          </w:tcPr>
          <w:p w14:paraId="0390D9BD"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3.3.3</w:t>
            </w:r>
            <w:r w:rsidRPr="00893AA5">
              <w:rPr>
                <w:rFonts w:asciiTheme="majorHAnsi" w:hAnsiTheme="majorHAnsi" w:cstheme="majorHAnsi"/>
                <w:sz w:val="22"/>
                <w:lang w:bidi="pt-PT"/>
              </w:rPr>
              <w:t>: Existem programas para construir pontes entre os serviços especializados e a educação regular?</w:t>
            </w:r>
          </w:p>
        </w:tc>
        <w:tc>
          <w:tcPr>
            <w:tcW w:w="500" w:type="pct"/>
          </w:tcPr>
          <w:p w14:paraId="66FDCE7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A518C3A" w14:textId="77777777" w:rsidTr="00C01411">
        <w:trPr>
          <w:cantSplit/>
        </w:trPr>
        <w:tc>
          <w:tcPr>
            <w:tcW w:w="2250" w:type="pct"/>
          </w:tcPr>
          <w:p w14:paraId="676C6E7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45D61C7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893AA5" w:rsidRDefault="00776FBF" w:rsidP="00591FE3">
            <w:pPr>
              <w:pStyle w:val="Agency-body-text"/>
              <w:rPr>
                <w:rFonts w:asciiTheme="majorHAnsi" w:hAnsiTheme="majorHAnsi" w:cstheme="majorHAnsi"/>
                <w:sz w:val="22"/>
                <w:szCs w:val="22"/>
              </w:rPr>
            </w:pPr>
          </w:p>
        </w:tc>
      </w:tr>
    </w:tbl>
    <w:p w14:paraId="057D6D6F" w14:textId="5FDE2992" w:rsidR="00776FBF" w:rsidRPr="00893AA5" w:rsidRDefault="00776FBF" w:rsidP="00591FE3">
      <w:pPr>
        <w:pStyle w:val="Agency-heading-2"/>
        <w:rPr>
          <w:rFonts w:asciiTheme="majorHAnsi" w:hAnsiTheme="majorHAnsi" w:cstheme="majorHAnsi"/>
        </w:rPr>
      </w:pPr>
      <w:bookmarkStart w:id="10" w:name="_Toc128142432"/>
      <w:r w:rsidRPr="00893AA5">
        <w:rPr>
          <w:rFonts w:asciiTheme="majorHAnsi" w:hAnsiTheme="majorHAnsi" w:cstheme="majorHAnsi"/>
          <w:lang w:bidi="pt-PT"/>
        </w:rPr>
        <w:t>Princípio orientador 4: Apoio à liderança e gestão da escola inclusiva</w:t>
      </w:r>
      <w:bookmarkEnd w:id="10"/>
    </w:p>
    <w:p w14:paraId="37DBDF11" w14:textId="32820686" w:rsidR="00776FBF" w:rsidRPr="00893AA5" w:rsidRDefault="00776FBF" w:rsidP="00591FE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4.1: Os diretores das escolas promovem uma </w:t>
      </w:r>
      <w:r w:rsidRPr="00893AA5">
        <w:rPr>
          <w:rFonts w:asciiTheme="majorHAnsi" w:hAnsiTheme="majorHAnsi" w:cstheme="majorHAnsi"/>
          <w:i/>
          <w:lang w:bidi="pt-PT"/>
        </w:rPr>
        <w:t>visão inclusiva</w:t>
      </w:r>
      <w:r w:rsidRPr="00893AA5">
        <w:rPr>
          <w:rFonts w:asciiTheme="majorHAnsi" w:hAnsiTheme="majorHAnsi" w:cstheme="majorHAnsi"/>
          <w:lang w:bidi="pt-PT"/>
        </w:rPr>
        <w:t>, incluindo valores mútuos, uma linguagem e compreensão comuns e uma abordagem holística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64969742" w14:textId="77777777" w:rsidTr="00C01411">
        <w:trPr>
          <w:cantSplit/>
          <w:tblHeader/>
        </w:trPr>
        <w:tc>
          <w:tcPr>
            <w:tcW w:w="2250" w:type="pct"/>
            <w:shd w:val="clear" w:color="auto" w:fill="D9D9D9" w:themeFill="background1" w:themeFillShade="D9"/>
          </w:tcPr>
          <w:p w14:paraId="09095B4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470087C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7A66430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4026139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0FC9B28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47D229B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1238DA0E" w14:textId="77777777" w:rsidTr="00C01411">
        <w:trPr>
          <w:cantSplit/>
        </w:trPr>
        <w:tc>
          <w:tcPr>
            <w:tcW w:w="2250" w:type="pct"/>
          </w:tcPr>
          <w:p w14:paraId="0035BA0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4.1.1</w:t>
            </w:r>
            <w:r w:rsidRPr="00893AA5">
              <w:rPr>
                <w:rFonts w:asciiTheme="majorHAnsi" w:hAnsiTheme="majorHAnsi" w:cstheme="majorHAnsi"/>
                <w:sz w:val="22"/>
                <w:lang w:bidi="pt-PT"/>
              </w:rPr>
              <w:t>: Existe uma definição clara de inclusão na legislação a ser adotada pelos diretores das escolas?</w:t>
            </w:r>
          </w:p>
        </w:tc>
        <w:tc>
          <w:tcPr>
            <w:tcW w:w="500" w:type="pct"/>
          </w:tcPr>
          <w:p w14:paraId="282DC24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1617A44A" w14:textId="77777777" w:rsidTr="00C01411">
        <w:trPr>
          <w:cantSplit/>
        </w:trPr>
        <w:tc>
          <w:tcPr>
            <w:tcW w:w="2250" w:type="pct"/>
          </w:tcPr>
          <w:p w14:paraId="2A120947"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4.1.2</w:t>
            </w:r>
            <w:r w:rsidRPr="00893AA5">
              <w:rPr>
                <w:rFonts w:asciiTheme="majorHAnsi" w:hAnsiTheme="majorHAnsi" w:cstheme="majorHAnsi"/>
                <w:sz w:val="22"/>
                <w:lang w:bidi="pt-PT"/>
              </w:rPr>
              <w:t>: A formação dos diretores é baseada numa abordagem global da escola?</w:t>
            </w:r>
          </w:p>
        </w:tc>
        <w:tc>
          <w:tcPr>
            <w:tcW w:w="500" w:type="pct"/>
          </w:tcPr>
          <w:p w14:paraId="10FAB97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FB7D1EB" w14:textId="77777777" w:rsidTr="00C01411">
        <w:trPr>
          <w:cantSplit/>
        </w:trPr>
        <w:tc>
          <w:tcPr>
            <w:tcW w:w="2250" w:type="pct"/>
          </w:tcPr>
          <w:p w14:paraId="2406676D"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4.1.3</w:t>
            </w:r>
            <w:r w:rsidRPr="00893AA5">
              <w:rPr>
                <w:rFonts w:asciiTheme="majorHAnsi" w:hAnsiTheme="majorHAnsi" w:cstheme="majorHAnsi"/>
                <w:sz w:val="22"/>
                <w:lang w:bidi="pt-PT"/>
              </w:rPr>
              <w:t>: Os diretores do setor regular são responsáveis por gerir a diversidade (atuando como «facilitadores»)?</w:t>
            </w:r>
          </w:p>
        </w:tc>
        <w:tc>
          <w:tcPr>
            <w:tcW w:w="500" w:type="pct"/>
          </w:tcPr>
          <w:p w14:paraId="24BA917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40E2B0FA" w14:textId="77777777" w:rsidTr="00C01411">
        <w:trPr>
          <w:cantSplit/>
        </w:trPr>
        <w:tc>
          <w:tcPr>
            <w:tcW w:w="2250" w:type="pct"/>
          </w:tcPr>
          <w:p w14:paraId="29FD0AA6"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6B8E59D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893AA5" w:rsidRDefault="00776FBF" w:rsidP="00591FE3">
            <w:pPr>
              <w:pStyle w:val="Agency-body-text"/>
              <w:rPr>
                <w:rFonts w:asciiTheme="majorHAnsi" w:hAnsiTheme="majorHAnsi" w:cstheme="majorHAnsi"/>
                <w:sz w:val="22"/>
                <w:szCs w:val="22"/>
              </w:rPr>
            </w:pPr>
          </w:p>
        </w:tc>
      </w:tr>
    </w:tbl>
    <w:p w14:paraId="53AC3665" w14:textId="6178B34E" w:rsidR="00776FBF" w:rsidRPr="00893AA5" w:rsidRDefault="00776FBF" w:rsidP="00581BFC">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4.2: Garantir as </w:t>
      </w:r>
      <w:r w:rsidRPr="00893AA5">
        <w:rPr>
          <w:rFonts w:asciiTheme="majorHAnsi" w:hAnsiTheme="majorHAnsi" w:cstheme="majorHAnsi"/>
          <w:i/>
          <w:lang w:bidi="pt-PT"/>
        </w:rPr>
        <w:t>capacidades e a confiança</w:t>
      </w:r>
      <w:r w:rsidRPr="00893AA5">
        <w:rPr>
          <w:rFonts w:asciiTheme="majorHAnsi" w:hAnsiTheme="majorHAnsi" w:cstheme="majorHAnsi"/>
          <w:lang w:bidi="pt-PT"/>
        </w:rPr>
        <w:t xml:space="preserve"> da liderança da escola dos setores regular e especializado para apoiar a educação inclusiva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75B1CB87" w14:textId="77777777" w:rsidTr="00C01411">
        <w:trPr>
          <w:cantSplit/>
          <w:tblHeader/>
        </w:trPr>
        <w:tc>
          <w:tcPr>
            <w:tcW w:w="2250" w:type="pct"/>
            <w:shd w:val="clear" w:color="auto" w:fill="D9D9D9" w:themeFill="background1" w:themeFillShade="D9"/>
          </w:tcPr>
          <w:p w14:paraId="10AF96C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3B386B8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7E829B1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7385D61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70741F6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31E6936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5870DEF0" w14:textId="77777777" w:rsidTr="00C01411">
        <w:trPr>
          <w:cantSplit/>
        </w:trPr>
        <w:tc>
          <w:tcPr>
            <w:tcW w:w="2250" w:type="pct"/>
          </w:tcPr>
          <w:p w14:paraId="40D9F69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4.2.1</w:t>
            </w:r>
            <w:r w:rsidRPr="00893AA5">
              <w:rPr>
                <w:rFonts w:asciiTheme="majorHAnsi" w:hAnsiTheme="majorHAnsi" w:cstheme="majorHAnsi"/>
                <w:sz w:val="22"/>
                <w:lang w:bidi="pt-PT"/>
              </w:rPr>
              <w:t>: Existem estruturas para desenvolver estratégias de liderança na educação inclusiva?</w:t>
            </w:r>
          </w:p>
        </w:tc>
        <w:tc>
          <w:tcPr>
            <w:tcW w:w="500" w:type="pct"/>
          </w:tcPr>
          <w:p w14:paraId="04D53B0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8708CD2" w14:textId="77777777" w:rsidTr="00C01411">
        <w:trPr>
          <w:cantSplit/>
        </w:trPr>
        <w:tc>
          <w:tcPr>
            <w:tcW w:w="2250" w:type="pct"/>
          </w:tcPr>
          <w:p w14:paraId="7D258915"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4.2.2</w:t>
            </w:r>
            <w:r w:rsidRPr="00893AA5">
              <w:rPr>
                <w:rFonts w:asciiTheme="majorHAnsi" w:hAnsiTheme="majorHAnsi" w:cstheme="majorHAnsi"/>
                <w:sz w:val="22"/>
                <w:lang w:bidi="pt-PT"/>
              </w:rPr>
              <w:t>: Existe alguma estrutura de apoio para que as equipas de liderança se sintam confiantes em implementar a educação inclusiva?</w:t>
            </w:r>
          </w:p>
        </w:tc>
        <w:tc>
          <w:tcPr>
            <w:tcW w:w="500" w:type="pct"/>
          </w:tcPr>
          <w:p w14:paraId="2408DA0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7291D11" w14:textId="77777777" w:rsidTr="00C01411">
        <w:trPr>
          <w:cantSplit/>
        </w:trPr>
        <w:tc>
          <w:tcPr>
            <w:tcW w:w="2250" w:type="pct"/>
          </w:tcPr>
          <w:p w14:paraId="00D723CB"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4.2.3</w:t>
            </w:r>
            <w:r w:rsidRPr="00893AA5">
              <w:rPr>
                <w:rFonts w:asciiTheme="majorHAnsi" w:hAnsiTheme="majorHAnsi" w:cstheme="majorHAnsi"/>
                <w:sz w:val="22"/>
                <w:lang w:bidi="pt-PT"/>
              </w:rPr>
              <w:t>: As equipas de liderança têm o nível de autonomia necessário para implementar a educação inclusiva?</w:t>
            </w:r>
          </w:p>
        </w:tc>
        <w:tc>
          <w:tcPr>
            <w:tcW w:w="500" w:type="pct"/>
          </w:tcPr>
          <w:p w14:paraId="5884CB8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7816CC5" w14:textId="77777777" w:rsidTr="00C01411">
        <w:trPr>
          <w:cantSplit/>
        </w:trPr>
        <w:tc>
          <w:tcPr>
            <w:tcW w:w="2250" w:type="pct"/>
          </w:tcPr>
          <w:p w14:paraId="2F4CF563"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366E932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893AA5" w:rsidRDefault="00776FBF" w:rsidP="00591FE3">
            <w:pPr>
              <w:pStyle w:val="Agency-body-text"/>
              <w:rPr>
                <w:rFonts w:asciiTheme="majorHAnsi" w:hAnsiTheme="majorHAnsi" w:cstheme="majorHAnsi"/>
                <w:sz w:val="22"/>
                <w:szCs w:val="22"/>
              </w:rPr>
            </w:pPr>
          </w:p>
        </w:tc>
      </w:tr>
    </w:tbl>
    <w:p w14:paraId="0B366F34" w14:textId="60D8F940"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lastRenderedPageBreak/>
        <w:t xml:space="preserve">Prioridade/estratégia política 4.3: A liderança e a gestão da escola apoiam a educação inclusiva através da </w:t>
      </w:r>
      <w:r w:rsidRPr="00893AA5">
        <w:rPr>
          <w:rFonts w:asciiTheme="majorHAnsi" w:hAnsiTheme="majorHAnsi" w:cstheme="majorHAnsi"/>
          <w:i/>
          <w:lang w:bidi="pt-PT"/>
        </w:rPr>
        <w:t>colaboração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7D3F7C4D" w14:textId="77777777" w:rsidTr="00C01411">
        <w:trPr>
          <w:cantSplit/>
          <w:tblHeader/>
        </w:trPr>
        <w:tc>
          <w:tcPr>
            <w:tcW w:w="2250" w:type="pct"/>
            <w:shd w:val="clear" w:color="auto" w:fill="D9D9D9" w:themeFill="background1" w:themeFillShade="D9"/>
          </w:tcPr>
          <w:p w14:paraId="4254C2C1"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48C04E0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147EAD01"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5ABFAAE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060C017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15A1DA46"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79D12246" w14:textId="77777777" w:rsidTr="00C01411">
        <w:trPr>
          <w:cantSplit/>
        </w:trPr>
        <w:tc>
          <w:tcPr>
            <w:tcW w:w="2250" w:type="pct"/>
          </w:tcPr>
          <w:p w14:paraId="0790A41E"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4.3.1</w:t>
            </w:r>
            <w:r w:rsidRPr="00893AA5">
              <w:rPr>
                <w:rFonts w:asciiTheme="majorHAnsi" w:hAnsiTheme="majorHAnsi" w:cstheme="majorHAnsi"/>
                <w:sz w:val="22"/>
                <w:lang w:bidi="pt-PT"/>
              </w:rPr>
              <w:t>: A liderança e a gestão da escola garantem uma colaboração eficaz entre as equipas multidisciplinares?</w:t>
            </w:r>
          </w:p>
        </w:tc>
        <w:tc>
          <w:tcPr>
            <w:tcW w:w="500" w:type="pct"/>
          </w:tcPr>
          <w:p w14:paraId="52F4B60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B8D3F6A" w14:textId="77777777" w:rsidTr="00C01411">
        <w:trPr>
          <w:cantSplit/>
        </w:trPr>
        <w:tc>
          <w:tcPr>
            <w:tcW w:w="2250" w:type="pct"/>
          </w:tcPr>
          <w:p w14:paraId="671CC5F2"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4.3.2</w:t>
            </w:r>
            <w:r w:rsidRPr="00893AA5">
              <w:rPr>
                <w:rFonts w:asciiTheme="majorHAnsi" w:hAnsiTheme="majorHAnsi" w:cstheme="majorHAnsi"/>
                <w:sz w:val="22"/>
                <w:lang w:bidi="pt-PT"/>
              </w:rPr>
              <w:t xml:space="preserve">: A liderança e a gestão da escola promovem a transferência de conhecimento dos serviços especializados para os serviços regulares? </w:t>
            </w:r>
          </w:p>
        </w:tc>
        <w:tc>
          <w:tcPr>
            <w:tcW w:w="500" w:type="pct"/>
          </w:tcPr>
          <w:p w14:paraId="55E2D21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E7AAC01" w14:textId="77777777" w:rsidTr="00C01411">
        <w:trPr>
          <w:cantSplit/>
        </w:trPr>
        <w:tc>
          <w:tcPr>
            <w:tcW w:w="2250" w:type="pct"/>
          </w:tcPr>
          <w:p w14:paraId="44C68246"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4.3.3</w:t>
            </w:r>
            <w:r w:rsidRPr="00893AA5">
              <w:rPr>
                <w:rFonts w:asciiTheme="majorHAnsi" w:hAnsiTheme="majorHAnsi" w:cstheme="majorHAnsi"/>
                <w:sz w:val="22"/>
                <w:lang w:bidi="pt-PT"/>
              </w:rPr>
              <w:t>: A liderança e a gestão da escola promovem a colaboração e comunicação contínuas entre escolas, serviços comunitários, prestadores de formação, etc.?</w:t>
            </w:r>
          </w:p>
        </w:tc>
        <w:tc>
          <w:tcPr>
            <w:tcW w:w="500" w:type="pct"/>
          </w:tcPr>
          <w:p w14:paraId="0E809D3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B5E2B7B" w14:textId="77777777" w:rsidTr="00C01411">
        <w:trPr>
          <w:cantSplit/>
        </w:trPr>
        <w:tc>
          <w:tcPr>
            <w:tcW w:w="2250" w:type="pct"/>
          </w:tcPr>
          <w:p w14:paraId="7325A08A"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58CC9D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893AA5" w:rsidRDefault="00776FBF" w:rsidP="00591FE3">
            <w:pPr>
              <w:pStyle w:val="Agency-body-text"/>
              <w:rPr>
                <w:rFonts w:asciiTheme="majorHAnsi" w:hAnsiTheme="majorHAnsi" w:cstheme="majorHAnsi"/>
                <w:sz w:val="22"/>
                <w:szCs w:val="22"/>
              </w:rPr>
            </w:pPr>
          </w:p>
        </w:tc>
      </w:tr>
    </w:tbl>
    <w:p w14:paraId="36B6B22D" w14:textId="09B08E30" w:rsidR="00776FBF" w:rsidRPr="00893AA5" w:rsidRDefault="00776FBF" w:rsidP="00F30963">
      <w:pPr>
        <w:pStyle w:val="Agency-heading-2"/>
        <w:rPr>
          <w:rFonts w:asciiTheme="majorHAnsi" w:hAnsiTheme="majorHAnsi" w:cstheme="majorHAnsi"/>
        </w:rPr>
      </w:pPr>
      <w:bookmarkStart w:id="11" w:name="_Toc128142433"/>
      <w:r w:rsidRPr="00893AA5">
        <w:rPr>
          <w:rFonts w:asciiTheme="majorHAnsi" w:hAnsiTheme="majorHAnsi" w:cstheme="majorHAnsi"/>
          <w:lang w:bidi="pt-PT"/>
        </w:rPr>
        <w:t>Princípio orientador 5: Incentivar o envolvimento ativo das partes interessadas</w:t>
      </w:r>
      <w:bookmarkEnd w:id="11"/>
    </w:p>
    <w:p w14:paraId="19DE2D6F" w14:textId="056A8938"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5.1: Existem políticas e estratégias nacionais abrangentes em vigor que foram desenvolvidas após uma </w:t>
      </w:r>
      <w:r w:rsidRPr="00893AA5">
        <w:rPr>
          <w:rFonts w:asciiTheme="majorHAnsi" w:hAnsiTheme="majorHAnsi" w:cstheme="majorHAnsi"/>
          <w:i/>
          <w:lang w:bidi="pt-PT"/>
        </w:rPr>
        <w:t>ampla consulta</w:t>
      </w:r>
      <w:r w:rsidRPr="00893AA5">
        <w:rPr>
          <w:rFonts w:asciiTheme="majorHAnsi" w:hAnsiTheme="majorHAnsi" w:cstheme="majorHAnsi"/>
          <w:lang w:bidi="pt-PT"/>
        </w:rPr>
        <w:t xml:space="preserve"> com todas as partes interessadas, com uma visão política e vontade claras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1FA24FA5" w14:textId="77777777" w:rsidTr="00C01411">
        <w:trPr>
          <w:cantSplit/>
          <w:tblHeader/>
        </w:trPr>
        <w:tc>
          <w:tcPr>
            <w:tcW w:w="2250" w:type="pct"/>
            <w:shd w:val="clear" w:color="auto" w:fill="D9D9D9" w:themeFill="background1" w:themeFillShade="D9"/>
          </w:tcPr>
          <w:p w14:paraId="7B81C0E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3BD360D9"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37373E5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5D609EA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5EB4165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3DCA9426"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4854AC68" w14:textId="77777777" w:rsidTr="00C01411">
        <w:trPr>
          <w:cantSplit/>
        </w:trPr>
        <w:tc>
          <w:tcPr>
            <w:tcW w:w="2250" w:type="pct"/>
          </w:tcPr>
          <w:p w14:paraId="30D63E9D"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5.1.1</w:t>
            </w:r>
            <w:r w:rsidRPr="00893AA5">
              <w:rPr>
                <w:rFonts w:asciiTheme="majorHAnsi" w:hAnsiTheme="majorHAnsi" w:cstheme="majorHAnsi"/>
                <w:sz w:val="22"/>
                <w:lang w:bidi="pt-PT"/>
              </w:rPr>
              <w:t>: A legislação nacional inclui medidas/processos que incentivem a participação das partes interessadas?</w:t>
            </w:r>
          </w:p>
        </w:tc>
        <w:tc>
          <w:tcPr>
            <w:tcW w:w="500" w:type="pct"/>
          </w:tcPr>
          <w:p w14:paraId="262CE66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308E701" w14:textId="77777777" w:rsidTr="00C01411">
        <w:trPr>
          <w:cantSplit/>
        </w:trPr>
        <w:tc>
          <w:tcPr>
            <w:tcW w:w="2250" w:type="pct"/>
          </w:tcPr>
          <w:p w14:paraId="7366DF68"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5.1.2</w:t>
            </w:r>
            <w:r w:rsidRPr="00893AA5">
              <w:rPr>
                <w:rFonts w:asciiTheme="majorHAnsi" w:hAnsiTheme="majorHAnsi" w:cstheme="majorHAnsi"/>
                <w:sz w:val="22"/>
                <w:lang w:bidi="pt-PT"/>
              </w:rPr>
              <w:t>: Existem processos em vigor para garantir o mesmo nível de envolvimento das partes interessadas na educação pré-primária, primária e secundária?</w:t>
            </w:r>
          </w:p>
        </w:tc>
        <w:tc>
          <w:tcPr>
            <w:tcW w:w="500" w:type="pct"/>
          </w:tcPr>
          <w:p w14:paraId="4C9587E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532119AE" w14:textId="77777777" w:rsidTr="00C01411">
        <w:trPr>
          <w:cantSplit/>
        </w:trPr>
        <w:tc>
          <w:tcPr>
            <w:tcW w:w="2250" w:type="pct"/>
          </w:tcPr>
          <w:p w14:paraId="2792D88C" w14:textId="631ECB5C"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5.1.3</w:t>
            </w:r>
            <w:r w:rsidRPr="00893AA5">
              <w:rPr>
                <w:rFonts w:asciiTheme="majorHAnsi" w:hAnsiTheme="majorHAnsi" w:cstheme="majorHAnsi"/>
                <w:sz w:val="22"/>
                <w:lang w:bidi="pt-PT"/>
              </w:rPr>
              <w:t>: O envolvimento das partes interessadas é consistente em todas as regiões/municípios?</w:t>
            </w:r>
          </w:p>
        </w:tc>
        <w:tc>
          <w:tcPr>
            <w:tcW w:w="500" w:type="pct"/>
          </w:tcPr>
          <w:p w14:paraId="478A3BC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0A48CEC" w14:textId="77777777" w:rsidTr="00C01411">
        <w:trPr>
          <w:cantSplit/>
        </w:trPr>
        <w:tc>
          <w:tcPr>
            <w:tcW w:w="2250" w:type="pct"/>
          </w:tcPr>
          <w:p w14:paraId="37E30679"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1B7C16C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893AA5" w:rsidRDefault="00776FBF" w:rsidP="00591FE3">
            <w:pPr>
              <w:pStyle w:val="Agency-body-text"/>
              <w:rPr>
                <w:rFonts w:asciiTheme="majorHAnsi" w:hAnsiTheme="majorHAnsi" w:cstheme="majorHAnsi"/>
                <w:sz w:val="22"/>
                <w:szCs w:val="22"/>
              </w:rPr>
            </w:pPr>
          </w:p>
        </w:tc>
      </w:tr>
    </w:tbl>
    <w:p w14:paraId="23BF325F" w14:textId="1F1E2DA0"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5.2: A política garante que os alunos e as famílias sejam os elementos principais e que sejam considerados um </w:t>
      </w:r>
      <w:r w:rsidRPr="00893AA5">
        <w:rPr>
          <w:rFonts w:asciiTheme="majorHAnsi" w:hAnsiTheme="majorHAnsi" w:cstheme="majorHAnsi"/>
          <w:i/>
          <w:lang w:bidi="pt-PT"/>
        </w:rPr>
        <w:t>recurso-chave</w:t>
      </w:r>
      <w:r w:rsidRPr="00893AA5">
        <w:rPr>
          <w:rFonts w:asciiTheme="majorHAnsi" w:hAnsiTheme="majorHAnsi" w:cstheme="majorHAnsi"/>
          <w:lang w:bidi="pt-PT"/>
        </w:rPr>
        <w:t xml:space="preserve"> no processo de aprendizagem e ensino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199E1511" w14:textId="77777777" w:rsidTr="00C01411">
        <w:trPr>
          <w:cantSplit/>
          <w:tblHeader/>
        </w:trPr>
        <w:tc>
          <w:tcPr>
            <w:tcW w:w="2250" w:type="pct"/>
            <w:shd w:val="clear" w:color="auto" w:fill="D9D9D9" w:themeFill="background1" w:themeFillShade="D9"/>
          </w:tcPr>
          <w:p w14:paraId="78FC2AE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7D07735A"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21E138C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584D3371"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24BB528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41594AF9"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59DF8B83" w14:textId="77777777" w:rsidTr="00C01411">
        <w:trPr>
          <w:cantSplit/>
        </w:trPr>
        <w:tc>
          <w:tcPr>
            <w:tcW w:w="2250" w:type="pct"/>
          </w:tcPr>
          <w:p w14:paraId="609AE226" w14:textId="66BEBEA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5.2.1</w:t>
            </w:r>
            <w:r w:rsidRPr="00893AA5">
              <w:rPr>
                <w:rFonts w:asciiTheme="majorHAnsi" w:hAnsiTheme="majorHAnsi" w:cstheme="majorHAnsi"/>
                <w:sz w:val="22"/>
                <w:lang w:bidi="pt-PT"/>
              </w:rPr>
              <w:t>: Existem oportunidades de participação equitativas para todas as famílias/alunos de diferentes origens nos setores regular e especializado (por exemplo, famílias e alunos que participam na elaboração de planos de educação individuais)?</w:t>
            </w:r>
          </w:p>
        </w:tc>
        <w:tc>
          <w:tcPr>
            <w:tcW w:w="500" w:type="pct"/>
          </w:tcPr>
          <w:p w14:paraId="30E2B5C1"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100B5E2F" w14:textId="77777777" w:rsidTr="00C01411">
        <w:trPr>
          <w:cantSplit/>
        </w:trPr>
        <w:tc>
          <w:tcPr>
            <w:tcW w:w="2250" w:type="pct"/>
          </w:tcPr>
          <w:p w14:paraId="6FF81075" w14:textId="5BDA84F8"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5.2.2</w:t>
            </w:r>
            <w:r w:rsidRPr="00893AA5">
              <w:rPr>
                <w:rFonts w:asciiTheme="majorHAnsi" w:hAnsiTheme="majorHAnsi" w:cstheme="majorHAnsi"/>
                <w:sz w:val="22"/>
                <w:lang w:bidi="pt-PT"/>
              </w:rPr>
              <w:t>: Existem canais, estruturas e/ou órgãos participativos (por exemplo, conselhos escolares e de alunos, associações de familiares e associações de pessoas com incapacidade) estabelecidos e envolvidos nas operações escolares?</w:t>
            </w:r>
          </w:p>
        </w:tc>
        <w:tc>
          <w:tcPr>
            <w:tcW w:w="500" w:type="pct"/>
          </w:tcPr>
          <w:p w14:paraId="1A9C399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0A87554" w14:textId="77777777" w:rsidTr="00C01411">
        <w:trPr>
          <w:cantSplit/>
        </w:trPr>
        <w:tc>
          <w:tcPr>
            <w:tcW w:w="2250" w:type="pct"/>
          </w:tcPr>
          <w:p w14:paraId="1F28E24E"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5.2.3</w:t>
            </w:r>
            <w:r w:rsidRPr="00893AA5">
              <w:rPr>
                <w:rFonts w:asciiTheme="majorHAnsi" w:hAnsiTheme="majorHAnsi" w:cstheme="majorHAnsi"/>
                <w:sz w:val="22"/>
                <w:lang w:bidi="pt-PT"/>
              </w:rPr>
              <w:t>: As famílias e os alunos podem influenciar as decisões relacionadas com o processo de ensino e aprendizagem?</w:t>
            </w:r>
          </w:p>
        </w:tc>
        <w:tc>
          <w:tcPr>
            <w:tcW w:w="500" w:type="pct"/>
          </w:tcPr>
          <w:p w14:paraId="7E7E8AC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2FC0D4B1" w14:textId="77777777" w:rsidTr="00C01411">
        <w:trPr>
          <w:cantSplit/>
        </w:trPr>
        <w:tc>
          <w:tcPr>
            <w:tcW w:w="2250" w:type="pct"/>
          </w:tcPr>
          <w:p w14:paraId="79A9D76D"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3BA6E7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893AA5" w:rsidRDefault="00776FBF" w:rsidP="00591FE3">
            <w:pPr>
              <w:pStyle w:val="Agency-body-text"/>
              <w:rPr>
                <w:rFonts w:asciiTheme="majorHAnsi" w:hAnsiTheme="majorHAnsi" w:cstheme="majorHAnsi"/>
                <w:sz w:val="22"/>
                <w:szCs w:val="22"/>
              </w:rPr>
            </w:pPr>
          </w:p>
        </w:tc>
      </w:tr>
    </w:tbl>
    <w:p w14:paraId="13AC577B" w14:textId="627C77F0" w:rsidR="00776FBF" w:rsidRPr="00893AA5" w:rsidRDefault="00776FBF" w:rsidP="00F30963">
      <w:pPr>
        <w:pStyle w:val="Agency-heading-2"/>
        <w:rPr>
          <w:rFonts w:asciiTheme="majorHAnsi" w:hAnsiTheme="majorHAnsi" w:cstheme="majorHAnsi"/>
        </w:rPr>
      </w:pPr>
      <w:bookmarkStart w:id="12" w:name="_Toc128142434"/>
      <w:r w:rsidRPr="00893AA5">
        <w:rPr>
          <w:rFonts w:asciiTheme="majorHAnsi" w:hAnsiTheme="majorHAnsi" w:cstheme="majorHAnsi"/>
          <w:lang w:bidi="pt-PT"/>
        </w:rPr>
        <w:t>Princípio orientador 6: Promover a monitorização e a avaliação contínuas</w:t>
      </w:r>
      <w:bookmarkEnd w:id="12"/>
    </w:p>
    <w:p w14:paraId="55A4C09B" w14:textId="692BFF59"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6.1: Existem </w:t>
      </w:r>
      <w:r w:rsidRPr="00893AA5">
        <w:rPr>
          <w:rFonts w:asciiTheme="majorHAnsi" w:hAnsiTheme="majorHAnsi" w:cstheme="majorHAnsi"/>
          <w:i/>
          <w:lang w:bidi="pt-PT"/>
        </w:rPr>
        <w:t>indicadores nacionais</w:t>
      </w:r>
      <w:r w:rsidRPr="00893AA5">
        <w:rPr>
          <w:rFonts w:asciiTheme="majorHAnsi" w:hAnsiTheme="majorHAnsi" w:cstheme="majorHAnsi"/>
          <w:lang w:bidi="pt-PT"/>
        </w:rPr>
        <w:t xml:space="preserve"> de educação inclusiva de qualidade que têm em conta a variação local, a diversidade das necessidades dos alunos e o papel dos serviços especializados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5FBD0BA3" w14:textId="77777777" w:rsidTr="00C01411">
        <w:trPr>
          <w:cantSplit/>
          <w:tblHeader/>
        </w:trPr>
        <w:tc>
          <w:tcPr>
            <w:tcW w:w="2250" w:type="pct"/>
            <w:shd w:val="clear" w:color="auto" w:fill="D9D9D9" w:themeFill="background1" w:themeFillShade="D9"/>
          </w:tcPr>
          <w:p w14:paraId="2C7DD99E"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73125E0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22AE5EBB"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1674EF4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1F0CF567"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4F2F2C2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2D5895E9" w14:textId="77777777" w:rsidTr="00C01411">
        <w:trPr>
          <w:cantSplit/>
        </w:trPr>
        <w:tc>
          <w:tcPr>
            <w:tcW w:w="2250" w:type="pct"/>
          </w:tcPr>
          <w:p w14:paraId="72744CA5" w14:textId="57EFF0B1"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6.1.1</w:t>
            </w:r>
            <w:r w:rsidRPr="00893AA5">
              <w:rPr>
                <w:rFonts w:asciiTheme="majorHAnsi" w:hAnsiTheme="majorHAnsi" w:cstheme="majorHAnsi"/>
                <w:sz w:val="22"/>
                <w:lang w:bidi="pt-PT"/>
              </w:rPr>
              <w:t>: Os indicadores refletem uma compreensão comum da prática inclusiva de qualidade nos setores regular e especializado?</w:t>
            </w:r>
          </w:p>
        </w:tc>
        <w:tc>
          <w:tcPr>
            <w:tcW w:w="500" w:type="pct"/>
          </w:tcPr>
          <w:p w14:paraId="72AD4D60"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3F715410" w14:textId="77777777" w:rsidTr="00C01411">
        <w:trPr>
          <w:cantSplit/>
        </w:trPr>
        <w:tc>
          <w:tcPr>
            <w:tcW w:w="2250" w:type="pct"/>
          </w:tcPr>
          <w:p w14:paraId="3A7BC71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6.1.2</w:t>
            </w:r>
            <w:r w:rsidRPr="00893AA5">
              <w:rPr>
                <w:rFonts w:asciiTheme="majorHAnsi" w:hAnsiTheme="majorHAnsi" w:cstheme="majorHAnsi"/>
                <w:sz w:val="22"/>
                <w:lang w:bidi="pt-PT"/>
              </w:rPr>
              <w:t>: Existe um meio sistemático de recolha de dados para fins de educação inclusiva?</w:t>
            </w:r>
          </w:p>
        </w:tc>
        <w:tc>
          <w:tcPr>
            <w:tcW w:w="500" w:type="pct"/>
          </w:tcPr>
          <w:p w14:paraId="39908C3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3A8E01A1" w14:textId="77777777" w:rsidTr="00C01411">
        <w:trPr>
          <w:cantSplit/>
        </w:trPr>
        <w:tc>
          <w:tcPr>
            <w:tcW w:w="2250" w:type="pct"/>
          </w:tcPr>
          <w:p w14:paraId="79B2CEAA" w14:textId="1B8E2B5A"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6.1.3</w:t>
            </w:r>
            <w:r w:rsidRPr="00893AA5">
              <w:rPr>
                <w:rFonts w:asciiTheme="majorHAnsi" w:hAnsiTheme="majorHAnsi" w:cstheme="majorHAnsi"/>
                <w:sz w:val="22"/>
                <w:lang w:bidi="pt-PT"/>
              </w:rPr>
              <w:t>: As decisões são baseadas num sistema de recolha de dados válido que abrange os setores regular e especializado?</w:t>
            </w:r>
          </w:p>
        </w:tc>
        <w:tc>
          <w:tcPr>
            <w:tcW w:w="500" w:type="pct"/>
          </w:tcPr>
          <w:p w14:paraId="5BAF3C5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1FB0C18F" w14:textId="77777777" w:rsidTr="00C01411">
        <w:trPr>
          <w:cantSplit/>
        </w:trPr>
        <w:tc>
          <w:tcPr>
            <w:tcW w:w="2250" w:type="pct"/>
          </w:tcPr>
          <w:p w14:paraId="74E151B4"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3086CE4"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893AA5" w:rsidRDefault="00776FBF" w:rsidP="00591FE3">
            <w:pPr>
              <w:pStyle w:val="Agency-body-text"/>
              <w:rPr>
                <w:rFonts w:asciiTheme="majorHAnsi" w:hAnsiTheme="majorHAnsi" w:cstheme="majorHAnsi"/>
                <w:sz w:val="22"/>
                <w:szCs w:val="22"/>
              </w:rPr>
            </w:pPr>
          </w:p>
        </w:tc>
      </w:tr>
    </w:tbl>
    <w:p w14:paraId="5AFE5B6C" w14:textId="55E78912"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lastRenderedPageBreak/>
        <w:t xml:space="preserve">Prioridade/estratégia política 6.2: Existem </w:t>
      </w:r>
      <w:r w:rsidRPr="00893AA5">
        <w:rPr>
          <w:rFonts w:asciiTheme="majorHAnsi" w:hAnsiTheme="majorHAnsi" w:cstheme="majorHAnsi"/>
          <w:i/>
          <w:lang w:bidi="pt-PT"/>
        </w:rPr>
        <w:t>estruturas/processos de cooperação</w:t>
      </w:r>
      <w:r w:rsidRPr="00893AA5">
        <w:rPr>
          <w:rFonts w:asciiTheme="majorHAnsi" w:hAnsiTheme="majorHAnsi" w:cstheme="majorHAnsi"/>
          <w:lang w:bidi="pt-PT"/>
        </w:rPr>
        <w:t xml:space="preserve"> em vigor para a monitorização e avaliação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6A443875" w14:textId="77777777" w:rsidTr="00C01411">
        <w:trPr>
          <w:cantSplit/>
          <w:tblHeader/>
        </w:trPr>
        <w:tc>
          <w:tcPr>
            <w:tcW w:w="2250" w:type="pct"/>
            <w:shd w:val="clear" w:color="auto" w:fill="D9D9D9" w:themeFill="background1" w:themeFillShade="D9"/>
          </w:tcPr>
          <w:p w14:paraId="6B061B3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644F1D24"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4A1DDA33"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7648B47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5E40F0B5"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7C5F2CBD"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4E11E087" w14:textId="77777777" w:rsidTr="00C01411">
        <w:trPr>
          <w:cantSplit/>
        </w:trPr>
        <w:tc>
          <w:tcPr>
            <w:tcW w:w="2250" w:type="pct"/>
          </w:tcPr>
          <w:p w14:paraId="5636CCA0"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6.2.1</w:t>
            </w:r>
            <w:r w:rsidRPr="00893AA5">
              <w:rPr>
                <w:rFonts w:asciiTheme="majorHAnsi" w:hAnsiTheme="majorHAnsi" w:cstheme="majorHAnsi"/>
                <w:sz w:val="22"/>
                <w:lang w:bidi="pt-PT"/>
              </w:rPr>
              <w:t>: Os indicadores de monitorização e autoavaliação são criados de forma colaborativa entre profissionais dos serviços regulares e dos serviços especializados para garantir um entendimento comum e evitar resistências?</w:t>
            </w:r>
          </w:p>
        </w:tc>
        <w:tc>
          <w:tcPr>
            <w:tcW w:w="500" w:type="pct"/>
          </w:tcPr>
          <w:p w14:paraId="0F54F41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031685F" w14:textId="77777777" w:rsidTr="00C01411">
        <w:trPr>
          <w:cantSplit/>
        </w:trPr>
        <w:tc>
          <w:tcPr>
            <w:tcW w:w="2250" w:type="pct"/>
          </w:tcPr>
          <w:p w14:paraId="1EDF6FDD" w14:textId="43BA0AAF"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6.2.2</w:t>
            </w:r>
            <w:r w:rsidRPr="00893AA5">
              <w:rPr>
                <w:rFonts w:asciiTheme="majorHAnsi" w:hAnsiTheme="majorHAnsi" w:cstheme="majorHAnsi"/>
                <w:sz w:val="22"/>
                <w:lang w:bidi="pt-PT"/>
              </w:rPr>
              <w:t>: Existem iniciativas/programas para aumentar o conhecimento e as aptidões das principais partes interessadas dos setores regular e especializado na análise e utilização de dados?</w:t>
            </w:r>
          </w:p>
        </w:tc>
        <w:tc>
          <w:tcPr>
            <w:tcW w:w="500" w:type="pct"/>
          </w:tcPr>
          <w:p w14:paraId="7CD33C6F"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115E0105" w14:textId="77777777" w:rsidTr="00C01411">
        <w:trPr>
          <w:cantSplit/>
        </w:trPr>
        <w:tc>
          <w:tcPr>
            <w:tcW w:w="2250" w:type="pct"/>
          </w:tcPr>
          <w:p w14:paraId="627DEED5" w14:textId="75FE8330"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6.2.3</w:t>
            </w:r>
            <w:r w:rsidRPr="00893AA5">
              <w:rPr>
                <w:rFonts w:asciiTheme="majorHAnsi" w:hAnsiTheme="majorHAnsi" w:cstheme="majorHAnsi"/>
                <w:sz w:val="22"/>
                <w:lang w:bidi="pt-PT"/>
              </w:rPr>
              <w:t>: Existe uma cooperação efetiva entre a escola, as autoridades educativas e as universidades para a monitorização e utilização de dados?</w:t>
            </w:r>
          </w:p>
        </w:tc>
        <w:tc>
          <w:tcPr>
            <w:tcW w:w="500" w:type="pct"/>
          </w:tcPr>
          <w:p w14:paraId="144057EB"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79040687" w14:textId="77777777" w:rsidTr="00C01411">
        <w:trPr>
          <w:cantSplit/>
        </w:trPr>
        <w:tc>
          <w:tcPr>
            <w:tcW w:w="2250" w:type="pct"/>
          </w:tcPr>
          <w:p w14:paraId="5E59CBD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35EF068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893AA5" w:rsidRDefault="00776FBF" w:rsidP="00591FE3">
            <w:pPr>
              <w:pStyle w:val="Agency-body-text"/>
              <w:rPr>
                <w:rFonts w:asciiTheme="majorHAnsi" w:hAnsiTheme="majorHAnsi" w:cstheme="majorHAnsi"/>
                <w:sz w:val="22"/>
                <w:szCs w:val="22"/>
              </w:rPr>
            </w:pPr>
          </w:p>
        </w:tc>
      </w:tr>
    </w:tbl>
    <w:p w14:paraId="2A7B6DF8" w14:textId="10B287CF" w:rsidR="00776FBF" w:rsidRPr="00893AA5" w:rsidRDefault="00776FBF" w:rsidP="00F30963">
      <w:pPr>
        <w:pStyle w:val="Agency-heading-3"/>
        <w:rPr>
          <w:rFonts w:asciiTheme="majorHAnsi" w:hAnsiTheme="majorHAnsi" w:cstheme="majorHAnsi"/>
        </w:rPr>
      </w:pPr>
      <w:r w:rsidRPr="00893AA5">
        <w:rPr>
          <w:rFonts w:asciiTheme="majorHAnsi" w:hAnsiTheme="majorHAnsi" w:cstheme="majorHAnsi"/>
          <w:lang w:bidi="pt-PT"/>
        </w:rPr>
        <w:t xml:space="preserve">Prioridade/estratégia política 6.3: Existe um </w:t>
      </w:r>
      <w:r w:rsidRPr="00893AA5">
        <w:rPr>
          <w:rFonts w:asciiTheme="majorHAnsi" w:hAnsiTheme="majorHAnsi" w:cstheme="majorHAnsi"/>
          <w:i/>
          <w:lang w:bidi="pt-PT"/>
        </w:rPr>
        <w:t>sistema abrangente para a monitorização</w:t>
      </w:r>
      <w:r w:rsidRPr="00893AA5">
        <w:rPr>
          <w:rFonts w:asciiTheme="majorHAnsi" w:hAnsiTheme="majorHAnsi" w:cstheme="majorHAnsi"/>
          <w:lang w:bidi="pt-PT"/>
        </w:rPr>
        <w:t xml:space="preserve"> de como os serviços especializados apoiam o setor regular na implementação da educação inclusiva (abrangendo os subsistemas de avaliação interna e externa)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93AA5" w14:paraId="110F4F0B" w14:textId="77777777" w:rsidTr="00C01411">
        <w:trPr>
          <w:cantSplit/>
          <w:tblHeader/>
        </w:trPr>
        <w:tc>
          <w:tcPr>
            <w:tcW w:w="2250" w:type="pct"/>
            <w:shd w:val="clear" w:color="auto" w:fill="D9D9D9" w:themeFill="background1" w:themeFillShade="D9"/>
          </w:tcPr>
          <w:p w14:paraId="5C367F8F"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Ação-chave</w:t>
            </w:r>
          </w:p>
        </w:tc>
        <w:tc>
          <w:tcPr>
            <w:tcW w:w="500" w:type="pct"/>
            <w:shd w:val="clear" w:color="auto" w:fill="D9D9D9" w:themeFill="background1" w:themeFillShade="D9"/>
          </w:tcPr>
          <w:p w14:paraId="31C88131"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0 — Ainda não</w:t>
            </w:r>
          </w:p>
        </w:tc>
        <w:tc>
          <w:tcPr>
            <w:tcW w:w="500" w:type="pct"/>
            <w:shd w:val="clear" w:color="auto" w:fill="D9D9D9" w:themeFill="background1" w:themeFillShade="D9"/>
          </w:tcPr>
          <w:p w14:paraId="74111262"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1 — Planeada</w:t>
            </w:r>
          </w:p>
        </w:tc>
        <w:tc>
          <w:tcPr>
            <w:tcW w:w="500" w:type="pct"/>
            <w:shd w:val="clear" w:color="auto" w:fill="D9D9D9" w:themeFill="background1" w:themeFillShade="D9"/>
          </w:tcPr>
          <w:p w14:paraId="4DFB34C8"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2 — Parcialmente em vigor</w:t>
            </w:r>
          </w:p>
        </w:tc>
        <w:tc>
          <w:tcPr>
            <w:tcW w:w="500" w:type="pct"/>
            <w:shd w:val="clear" w:color="auto" w:fill="D9D9D9" w:themeFill="background1" w:themeFillShade="D9"/>
          </w:tcPr>
          <w:p w14:paraId="3924CE2C"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3 — Em vigor</w:t>
            </w:r>
          </w:p>
        </w:tc>
        <w:tc>
          <w:tcPr>
            <w:tcW w:w="750" w:type="pct"/>
            <w:shd w:val="clear" w:color="auto" w:fill="D9D9D9" w:themeFill="background1" w:themeFillShade="D9"/>
          </w:tcPr>
          <w:p w14:paraId="54064EF1" w14:textId="77777777" w:rsidR="00776FBF" w:rsidRPr="00893AA5" w:rsidRDefault="00776FBF" w:rsidP="00591FE3">
            <w:pPr>
              <w:pStyle w:val="Agency-body-text"/>
              <w:rPr>
                <w:rFonts w:asciiTheme="majorHAnsi" w:hAnsiTheme="majorHAnsi" w:cstheme="majorHAnsi"/>
                <w:b/>
                <w:bCs/>
                <w:sz w:val="22"/>
                <w:szCs w:val="22"/>
              </w:rPr>
            </w:pPr>
            <w:r w:rsidRPr="00893AA5">
              <w:rPr>
                <w:rFonts w:asciiTheme="majorHAnsi" w:hAnsiTheme="majorHAnsi" w:cstheme="majorHAnsi"/>
                <w:b/>
                <w:sz w:val="22"/>
                <w:lang w:bidi="pt-PT"/>
              </w:rPr>
              <w:t>Comentários</w:t>
            </w:r>
          </w:p>
        </w:tc>
      </w:tr>
      <w:tr w:rsidR="00776FBF" w:rsidRPr="00893AA5" w14:paraId="226C3EEB" w14:textId="77777777" w:rsidTr="00C01411">
        <w:trPr>
          <w:cantSplit/>
        </w:trPr>
        <w:tc>
          <w:tcPr>
            <w:tcW w:w="2250" w:type="pct"/>
          </w:tcPr>
          <w:p w14:paraId="13580428"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6.3.1</w:t>
            </w:r>
            <w:r w:rsidRPr="00893AA5">
              <w:rPr>
                <w:rFonts w:asciiTheme="majorHAnsi" w:hAnsiTheme="majorHAnsi" w:cstheme="majorHAnsi"/>
                <w:sz w:val="22"/>
                <w:lang w:bidi="pt-PT"/>
              </w:rPr>
              <w:t>: O sistema de recolha de dados monitoriza a forma como os serviços especializados apoiam o setor regular na implementação da educação inclusiva?</w:t>
            </w:r>
          </w:p>
        </w:tc>
        <w:tc>
          <w:tcPr>
            <w:tcW w:w="500" w:type="pct"/>
          </w:tcPr>
          <w:p w14:paraId="32A43DFC"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76A01D61" w14:textId="77777777" w:rsidTr="00C01411">
        <w:trPr>
          <w:cantSplit/>
        </w:trPr>
        <w:tc>
          <w:tcPr>
            <w:tcW w:w="2250" w:type="pct"/>
          </w:tcPr>
          <w:p w14:paraId="2DB68FDE"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lastRenderedPageBreak/>
              <w:t>6.3.2</w:t>
            </w:r>
            <w:r w:rsidRPr="00893AA5">
              <w:rPr>
                <w:rFonts w:asciiTheme="majorHAnsi" w:hAnsiTheme="majorHAnsi" w:cstheme="majorHAnsi"/>
                <w:sz w:val="22"/>
                <w:lang w:bidi="pt-PT"/>
              </w:rPr>
              <w:t>: Os mecanismos de monitorização e avaliação refletem uma abordagem global da escola com foco nas barreiras e nos facilitadores do ensino e da aprendizagem?</w:t>
            </w:r>
          </w:p>
        </w:tc>
        <w:tc>
          <w:tcPr>
            <w:tcW w:w="500" w:type="pct"/>
          </w:tcPr>
          <w:p w14:paraId="4FBA10F6"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6ED635F3" w14:textId="77777777" w:rsidTr="00C01411">
        <w:trPr>
          <w:cantSplit/>
        </w:trPr>
        <w:tc>
          <w:tcPr>
            <w:tcW w:w="2250" w:type="pct"/>
          </w:tcPr>
          <w:p w14:paraId="77940C5E" w14:textId="519E2466"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b/>
                <w:sz w:val="22"/>
                <w:lang w:bidi="pt-PT"/>
              </w:rPr>
              <w:t>6.3.3</w:t>
            </w:r>
            <w:r w:rsidRPr="00893AA5">
              <w:rPr>
                <w:rFonts w:asciiTheme="majorHAnsi" w:hAnsiTheme="majorHAnsi" w:cstheme="majorHAnsi"/>
                <w:sz w:val="22"/>
                <w:lang w:bidi="pt-PT"/>
              </w:rPr>
              <w:t>: As questões de privacidade, ética e mitigação de riscos são abordadas ao monitorizar a cooperação dos setores regular e especializado?</w:t>
            </w:r>
          </w:p>
        </w:tc>
        <w:tc>
          <w:tcPr>
            <w:tcW w:w="500" w:type="pct"/>
          </w:tcPr>
          <w:p w14:paraId="05AB755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893AA5" w:rsidRDefault="00776FBF" w:rsidP="00591FE3">
            <w:pPr>
              <w:pStyle w:val="Agency-body-text"/>
              <w:rPr>
                <w:rFonts w:asciiTheme="majorHAnsi" w:hAnsiTheme="majorHAnsi" w:cstheme="majorHAnsi"/>
                <w:sz w:val="22"/>
                <w:szCs w:val="22"/>
              </w:rPr>
            </w:pPr>
          </w:p>
        </w:tc>
      </w:tr>
      <w:tr w:rsidR="00776FBF" w:rsidRPr="00893AA5" w14:paraId="032D5D7C" w14:textId="77777777" w:rsidTr="00C01411">
        <w:trPr>
          <w:cantSplit/>
        </w:trPr>
        <w:tc>
          <w:tcPr>
            <w:tcW w:w="2250" w:type="pct"/>
          </w:tcPr>
          <w:p w14:paraId="2AE09C1F" w14:textId="77777777" w:rsidR="00776FBF" w:rsidRPr="00893AA5" w:rsidRDefault="00776FBF" w:rsidP="00591FE3">
            <w:pPr>
              <w:pStyle w:val="Agency-body-text"/>
              <w:rPr>
                <w:rFonts w:asciiTheme="majorHAnsi" w:hAnsiTheme="majorHAnsi" w:cstheme="majorHAnsi"/>
                <w:sz w:val="22"/>
                <w:szCs w:val="22"/>
              </w:rPr>
            </w:pPr>
            <w:r w:rsidRPr="00893AA5">
              <w:rPr>
                <w:rFonts w:asciiTheme="majorHAnsi" w:hAnsiTheme="majorHAnsi" w:cstheme="majorHAnsi"/>
                <w:sz w:val="22"/>
                <w:lang w:bidi="pt-PT"/>
              </w:rPr>
              <w:t xml:space="preserve">Outros </w:t>
            </w:r>
            <w:r w:rsidRPr="00893AA5">
              <w:rPr>
                <w:rFonts w:asciiTheme="majorHAnsi" w:hAnsiTheme="majorHAnsi" w:cstheme="majorHAnsi"/>
                <w:i/>
                <w:sz w:val="22"/>
                <w:lang w:bidi="pt-PT"/>
              </w:rPr>
              <w:t>(especifique)</w:t>
            </w:r>
          </w:p>
        </w:tc>
        <w:tc>
          <w:tcPr>
            <w:tcW w:w="500" w:type="pct"/>
          </w:tcPr>
          <w:p w14:paraId="05D21A05"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893AA5"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893AA5"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893AA5" w:rsidRDefault="00776FBF" w:rsidP="00591FE3">
            <w:pPr>
              <w:pStyle w:val="Agency-body-text"/>
              <w:rPr>
                <w:rFonts w:asciiTheme="majorHAnsi" w:hAnsiTheme="majorHAnsi" w:cstheme="majorHAnsi"/>
                <w:sz w:val="22"/>
                <w:szCs w:val="22"/>
              </w:rPr>
            </w:pPr>
          </w:p>
        </w:tc>
      </w:tr>
    </w:tbl>
    <w:p w14:paraId="7E681A70" w14:textId="77777777" w:rsidR="00776FBF" w:rsidRPr="00893AA5" w:rsidRDefault="00776FBF" w:rsidP="00591FE3">
      <w:pPr>
        <w:pStyle w:val="Agency-body-text"/>
        <w:rPr>
          <w:rFonts w:asciiTheme="majorHAnsi" w:hAnsiTheme="majorHAnsi" w:cstheme="majorHAnsi"/>
        </w:rPr>
      </w:pPr>
    </w:p>
    <w:p w14:paraId="7ACB23F6" w14:textId="77777777" w:rsidR="00776FBF" w:rsidRPr="00893AA5" w:rsidRDefault="00776FBF" w:rsidP="00591FE3">
      <w:pPr>
        <w:pStyle w:val="Agency-body-text"/>
        <w:rPr>
          <w:rFonts w:asciiTheme="majorHAnsi" w:hAnsiTheme="majorHAnsi" w:cstheme="majorHAnsi"/>
        </w:rPr>
        <w:sectPr w:rsidR="00776FBF" w:rsidRPr="00893AA5"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893AA5" w:rsidRDefault="00776FBF" w:rsidP="00907466">
      <w:pPr>
        <w:pStyle w:val="Agency-heading-1"/>
        <w:rPr>
          <w:rFonts w:asciiTheme="majorHAnsi" w:hAnsiTheme="majorHAnsi" w:cstheme="majorHAnsi"/>
        </w:rPr>
      </w:pPr>
      <w:bookmarkStart w:id="13" w:name="_Toc128142435"/>
      <w:r w:rsidRPr="00893AA5">
        <w:rPr>
          <w:rFonts w:asciiTheme="majorHAnsi" w:hAnsiTheme="majorHAnsi" w:cstheme="majorHAnsi"/>
          <w:lang w:bidi="pt-PT"/>
        </w:rPr>
        <w:lastRenderedPageBreak/>
        <w:t>Anexo 1: Glossário de termos</w:t>
      </w:r>
      <w:bookmarkEnd w:id="13"/>
    </w:p>
    <w:p w14:paraId="1E0FB097" w14:textId="71C7C216"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Este anexo fornece definições e esclarecimentos dos principais termos da ferramenta. Contém termos do </w:t>
      </w:r>
      <w:hyperlink r:id="rId29" w:history="1">
        <w:r w:rsidRPr="00893AA5">
          <w:rPr>
            <w:rStyle w:val="Hyperlink"/>
            <w:rFonts w:asciiTheme="majorHAnsi" w:hAnsiTheme="majorHAnsi" w:cstheme="majorHAnsi"/>
            <w:lang w:bidi="pt-PT"/>
          </w:rPr>
          <w:t>glossário</w:t>
        </w:r>
      </w:hyperlink>
      <w:r w:rsidRPr="00893AA5">
        <w:rPr>
          <w:rFonts w:asciiTheme="majorHAnsi" w:hAnsiTheme="majorHAnsi" w:cstheme="majorHAnsi"/>
          <w:lang w:bidi="pt-PT"/>
        </w:rPr>
        <w:t xml:space="preserve"> </w:t>
      </w:r>
      <w:r w:rsidRPr="00893AA5">
        <w:rPr>
          <w:rFonts w:asciiTheme="majorHAnsi" w:hAnsiTheme="majorHAnsi" w:cstheme="majorHAnsi"/>
          <w:i/>
          <w:lang w:bidi="pt-PT"/>
        </w:rPr>
        <w:t>online</w:t>
      </w:r>
      <w:r w:rsidRPr="00893AA5">
        <w:rPr>
          <w:rFonts w:asciiTheme="majorHAnsi" w:hAnsiTheme="majorHAnsi" w:cstheme="majorHAnsi"/>
          <w:lang w:bidi="pt-PT"/>
        </w:rPr>
        <w:t xml:space="preserve"> da Agência, bem como termos relacionados especificamente com o projeto CROSP.</w:t>
      </w:r>
    </w:p>
    <w:p w14:paraId="115A7E93" w14:textId="77777777" w:rsidR="003B2947" w:rsidRPr="00893AA5" w:rsidRDefault="003B2947" w:rsidP="003B2947">
      <w:pPr>
        <w:pStyle w:val="Agency-body-text"/>
        <w:rPr>
          <w:rFonts w:asciiTheme="majorHAnsi" w:hAnsiTheme="majorHAnsi" w:cstheme="majorHAnsi"/>
        </w:rPr>
      </w:pPr>
      <w:bookmarkStart w:id="14" w:name="_Hlk127369559"/>
      <w:r w:rsidRPr="00893AA5">
        <w:rPr>
          <w:rFonts w:asciiTheme="majorHAnsi" w:hAnsiTheme="majorHAnsi" w:cstheme="majorHAnsi"/>
          <w:b/>
          <w:lang w:bidi="pt-PT"/>
        </w:rPr>
        <w:t>Abordagem de desenho universal</w:t>
      </w:r>
      <w:r w:rsidRPr="00893AA5">
        <w:rPr>
          <w:rFonts w:asciiTheme="majorHAnsi" w:hAnsiTheme="majorHAnsi" w:cstheme="majorHAnsi"/>
          <w:lang w:bidi="pt-PT"/>
        </w:rPr>
        <w:t xml:space="preserve">: o desenho universal para a aprendizagem (UDL) é uma abordagem que aborda a diversidade das necessidades dos alunos, sugerindo metas, métodos, materiais e processos de avaliação flexíveis que ajudam os educadores a dar resposta a necessidades variadas. Os currículos criados utilizando o desenho universal para a aprendizagem são concebidos desde o início para dar resposta às necessidades de todos os alunos. Uma estrutura de desenho universal para a aprendizagem incorpora um desenho flexível de situações de aprendizagem com opções personalizáveis, que permitem que todos os alunos progridam a partir dos seus próprios pontos de partida individuais (consultar </w:t>
      </w:r>
      <w:hyperlink r:id="rId30" w:history="1">
        <w:r w:rsidRPr="00893AA5">
          <w:rPr>
            <w:rStyle w:val="Hyperlink"/>
            <w:rFonts w:asciiTheme="majorHAnsi" w:hAnsiTheme="majorHAnsi" w:cstheme="majorHAnsi"/>
            <w:lang w:bidi="pt-PT"/>
          </w:rPr>
          <w:t>Centre for Applied Special Technology, sem data</w:t>
        </w:r>
      </w:hyperlink>
      <w:r w:rsidRPr="00893AA5">
        <w:rPr>
          <w:rFonts w:asciiTheme="majorHAnsi" w:hAnsiTheme="majorHAnsi" w:cstheme="majorHAnsi"/>
          <w:lang w:bidi="pt-PT"/>
        </w:rPr>
        <w:t>).</w:t>
      </w:r>
    </w:p>
    <w:p w14:paraId="57B675F0" w14:textId="77777777" w:rsidR="003B2947" w:rsidRPr="00893AA5" w:rsidRDefault="003B2947" w:rsidP="003B2947">
      <w:pPr>
        <w:pStyle w:val="Agency-body-text"/>
        <w:rPr>
          <w:rFonts w:asciiTheme="majorHAnsi" w:hAnsiTheme="majorHAnsi" w:cstheme="majorHAnsi"/>
          <w:lang w:bidi="pt-PT"/>
        </w:rPr>
      </w:pPr>
      <w:r w:rsidRPr="00893AA5">
        <w:rPr>
          <w:rFonts w:asciiTheme="majorHAnsi" w:hAnsiTheme="majorHAnsi" w:cstheme="majorHAnsi"/>
          <w:b/>
          <w:lang w:bidi="pt-PT"/>
        </w:rPr>
        <w:t>Abordagem global da escola</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envolve todos os membros de uma comunidade escolar (ou seja, alunos, funcionários, famílias e cuidadores, membros da comunidade) e procura incluir todas as áreas da vida escolar. Reconhece que a aprendizagem real ocorre tanto por meio do currículo «formal» quanto por meio do currículo «oculto» e da experiência de vida dos alunos na escola e na comunidade.</w:t>
      </w:r>
    </w:p>
    <w:p w14:paraId="0E3D0A45" w14:textId="3F1536F7" w:rsidR="0085303A"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Barreiras</w:t>
      </w:r>
      <w:r w:rsidRPr="00893AA5">
        <w:rPr>
          <w:rFonts w:asciiTheme="majorHAnsi" w:hAnsiTheme="majorHAnsi" w:cstheme="majorHAnsi"/>
          <w:lang w:bidi="pt-PT"/>
        </w:rPr>
        <w:t xml:space="preserve"> (à aprendizagem): uma barreira é «um problema, regra ou situação que impede alguém de fazer algo, ou que torna algo impossível» (</w:t>
      </w:r>
      <w:hyperlink r:id="rId31" w:history="1">
        <w:r w:rsidR="0085303A" w:rsidRPr="00893AA5">
          <w:rPr>
            <w:rStyle w:val="Hyperlink"/>
            <w:rFonts w:asciiTheme="majorHAnsi" w:hAnsiTheme="majorHAnsi" w:cstheme="majorHAnsi"/>
            <w:lang w:bidi="pt-PT"/>
          </w:rPr>
          <w:t>Oxford Learner</w:t>
        </w:r>
        <w:r w:rsidR="006140BD" w:rsidRPr="00893AA5">
          <w:rPr>
            <w:rStyle w:val="Hyperlink"/>
            <w:rFonts w:asciiTheme="majorHAnsi" w:hAnsiTheme="majorHAnsi" w:cstheme="majorHAnsi"/>
            <w:lang w:bidi="pt-PT"/>
          </w:rPr>
          <w:t>’</w:t>
        </w:r>
        <w:r w:rsidR="0085303A" w:rsidRPr="00893AA5">
          <w:rPr>
            <w:rStyle w:val="Hyperlink"/>
            <w:rFonts w:asciiTheme="majorHAnsi" w:hAnsiTheme="majorHAnsi" w:cstheme="majorHAnsi"/>
            <w:lang w:bidi="pt-PT"/>
          </w:rPr>
          <w:t>s Dictionaries</w:t>
        </w:r>
      </w:hyperlink>
      <w:r w:rsidRPr="00893AA5">
        <w:rPr>
          <w:rFonts w:asciiTheme="majorHAnsi" w:hAnsiTheme="majorHAnsi" w:cstheme="majorHAnsi"/>
          <w:lang w:bidi="pt-PT"/>
        </w:rPr>
        <w:t>).</w:t>
      </w:r>
    </w:p>
    <w:p w14:paraId="56BFAD4A" w14:textId="77777777" w:rsidR="0085303A" w:rsidRPr="00893AA5" w:rsidRDefault="0085303A" w:rsidP="00591FE3">
      <w:pPr>
        <w:pStyle w:val="Agency-body-text"/>
        <w:rPr>
          <w:rFonts w:asciiTheme="majorHAnsi" w:hAnsiTheme="majorHAnsi" w:cstheme="majorHAnsi"/>
        </w:rPr>
      </w:pPr>
      <w:r w:rsidRPr="00893AA5">
        <w:rPr>
          <w:rFonts w:asciiTheme="majorHAnsi" w:hAnsiTheme="majorHAnsi" w:cstheme="majorHAnsi"/>
          <w:lang w:bidi="pt-PT"/>
        </w:rPr>
        <w:t>A incapacidade é frequentemente considerada como tal devido a «barreiras incapacitantes». Tal pode ser resolvido por meio da criação de ambientes acessíveis e facilitadores.</w:t>
      </w:r>
    </w:p>
    <w:p w14:paraId="1267E0E1" w14:textId="77777777" w:rsidR="0085303A" w:rsidRPr="00893AA5" w:rsidRDefault="0085303A" w:rsidP="00591FE3">
      <w:pPr>
        <w:pStyle w:val="Agency-quotation"/>
        <w:rPr>
          <w:rFonts w:asciiTheme="majorHAnsi" w:hAnsiTheme="majorHAnsi" w:cstheme="majorHAnsi"/>
        </w:rPr>
      </w:pPr>
      <w:r w:rsidRPr="00893AA5">
        <w:rPr>
          <w:rFonts w:asciiTheme="majorHAnsi" w:hAnsiTheme="majorHAnsi" w:cstheme="majorHAnsi"/>
          <w:lang w:bidi="pt-PT"/>
        </w:rPr>
        <w:t>Na educação, e durante o processo de aprendizagem, pode haver muitas barreiras ou circunstâncias que restringem a participação plena dos alunos. Muitos alunos terão requisitos diferentes (de curto e longo prazo) que podem exigir consideração para permitir que participem em todas as atividades e obtenham todos os benefícios das oportunidades oferecidas.</w:t>
      </w:r>
    </w:p>
    <w:p w14:paraId="21AB8733" w14:textId="1931B49A" w:rsidR="00776FBF" w:rsidRPr="00893AA5" w:rsidRDefault="0085303A" w:rsidP="00591FE3">
      <w:pPr>
        <w:pStyle w:val="Agency-quotation"/>
        <w:rPr>
          <w:rFonts w:asciiTheme="majorHAnsi" w:hAnsiTheme="majorHAnsi" w:cstheme="majorHAnsi"/>
        </w:rPr>
      </w:pPr>
      <w:r w:rsidRPr="00893AA5">
        <w:rPr>
          <w:rFonts w:asciiTheme="majorHAnsi" w:hAnsiTheme="majorHAnsi" w:cstheme="majorHAnsi"/>
          <w:lang w:bidi="pt-PT"/>
        </w:rPr>
        <w:t>A participação plena e ativa pode ser afetada por atitudes negativas e défices de pensamento, barreiras físicas, acesso deficiente a meios de comunicação e informações apropriadas em formatos acessíveis ou falta de confiança e/ou formação nas aptidões necessárias para participar (</w:t>
      </w:r>
      <w:hyperlink r:id="rId32" w:history="1">
        <w:r w:rsidRPr="00893AA5">
          <w:rPr>
            <w:rStyle w:val="Hyperlink"/>
            <w:rFonts w:asciiTheme="majorHAnsi" w:hAnsiTheme="majorHAnsi" w:cstheme="majorHAnsi"/>
            <w:lang w:bidi="pt-PT"/>
          </w:rPr>
          <w:t>Agência Europeia, sem data</w:t>
        </w:r>
      </w:hyperlink>
      <w:r w:rsidRPr="00893AA5">
        <w:rPr>
          <w:rFonts w:asciiTheme="majorHAnsi" w:hAnsiTheme="majorHAnsi" w:cstheme="majorHAnsi"/>
          <w:lang w:bidi="pt-PT"/>
        </w:rPr>
        <w:t>).</w:t>
      </w:r>
    </w:p>
    <w:p w14:paraId="4136F7C9" w14:textId="77777777"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b/>
          <w:lang w:bidi="pt-PT"/>
        </w:rPr>
        <w:lastRenderedPageBreak/>
        <w:t>Centro de recursos</w:t>
      </w:r>
      <w:r w:rsidRPr="00893AA5">
        <w:rPr>
          <w:rFonts w:asciiTheme="majorHAnsi" w:hAnsiTheme="majorHAnsi" w:cstheme="majorHAnsi"/>
          <w:lang w:bidi="pt-PT"/>
        </w:rPr>
        <w:t>: os centros de recursos são centros e/ou instituições de ensino essenciais dedicados a fornecer apoio e consultoria para promover a inclusão. Um centro de recursos é uma escola especial transformada, que se redefine como um espaço dinâmico e multifuncional que reúne recursos humanos e materiais. A transformação exige que as partes interessadas de ambientes especiais atuem como consultoras para os ambientes regulares, fornecendo às escolas o conhecimento e a experiência acumulada. Mobiliza o conhecimento e as aptidões da escola para a inclusão, valorizando o conhecimento e as experiências de todos.</w:t>
      </w:r>
    </w:p>
    <w:p w14:paraId="15589D5E" w14:textId="77777777" w:rsidR="003B2947" w:rsidRPr="00893AA5" w:rsidRDefault="003B2947" w:rsidP="003B2947">
      <w:pPr>
        <w:pStyle w:val="Agency-body-text"/>
        <w:rPr>
          <w:rFonts w:asciiTheme="majorHAnsi" w:hAnsiTheme="majorHAnsi" w:cstheme="majorHAnsi"/>
        </w:rPr>
      </w:pPr>
      <w:r w:rsidRPr="00893AA5">
        <w:rPr>
          <w:rFonts w:asciiTheme="majorHAnsi" w:hAnsiTheme="majorHAnsi" w:cstheme="majorHAnsi"/>
          <w:b/>
          <w:lang w:bidi="pt-PT"/>
        </w:rPr>
        <w:t>Comunidade de aprendizagem profissional (PLC)</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uma comunidade de aprendizagem profissional refere-se às colaborações de partes interessadas da educação «em torno de grupos de escolas envolvendo... funcionários da escola e da comunidade, juntamente com investigadores, líderes locais e decisores políticos» (</w:t>
      </w:r>
      <w:hyperlink r:id="rId33" w:history="1">
        <w:r w:rsidRPr="00893AA5">
          <w:rPr>
            <w:rStyle w:val="Hyperlink"/>
            <w:rFonts w:asciiTheme="majorHAnsi" w:hAnsiTheme="majorHAnsi" w:cstheme="majorHAnsi"/>
            <w:lang w:bidi="pt-PT"/>
          </w:rPr>
          <w:t>Agência Europeia, 2015</w:t>
        </w:r>
      </w:hyperlink>
      <w:r w:rsidRPr="00893AA5">
        <w:rPr>
          <w:rFonts w:asciiTheme="majorHAnsi" w:hAnsiTheme="majorHAnsi" w:cstheme="majorHAnsi"/>
          <w:lang w:bidi="pt-PT"/>
        </w:rPr>
        <w:t>, p. 7).</w:t>
      </w:r>
    </w:p>
    <w:p w14:paraId="0399DA0C" w14:textId="77777777" w:rsidR="003B2947" w:rsidRPr="00893AA5" w:rsidRDefault="003B2947" w:rsidP="003B2947">
      <w:pPr>
        <w:pStyle w:val="Agency-body-text"/>
        <w:keepNext/>
        <w:rPr>
          <w:rFonts w:asciiTheme="majorHAnsi" w:hAnsiTheme="majorHAnsi" w:cstheme="majorHAnsi"/>
        </w:rPr>
      </w:pPr>
      <w:r w:rsidRPr="00893AA5">
        <w:rPr>
          <w:rFonts w:asciiTheme="majorHAnsi" w:hAnsiTheme="majorHAnsi" w:cstheme="majorHAnsi"/>
          <w:lang w:bidi="pt-PT"/>
        </w:rPr>
        <w:t>As comunidades de aprendizagem profissional podem servir dois propósitos gerais:</w:t>
      </w:r>
    </w:p>
    <w:p w14:paraId="404EA8FE" w14:textId="5DF51D50" w:rsidR="003B2947" w:rsidRPr="00893AA5" w:rsidRDefault="003B2947" w:rsidP="003B2947">
      <w:pPr>
        <w:pStyle w:val="Agency-quotation"/>
        <w:rPr>
          <w:rFonts w:asciiTheme="majorHAnsi" w:hAnsiTheme="majorHAnsi" w:cstheme="majorHAnsi"/>
        </w:rPr>
      </w:pPr>
      <w:r w:rsidRPr="00893AA5">
        <w:rPr>
          <w:rFonts w:asciiTheme="majorHAnsi" w:hAnsiTheme="majorHAnsi" w:cstheme="majorHAnsi"/>
          <w:lang w:bidi="pt-PT"/>
        </w:rPr>
        <w:t>(1)</w:t>
      </w:r>
      <w:r w:rsidR="00CB2ACB" w:rsidRPr="00893AA5">
        <w:rPr>
          <w:rFonts w:asciiTheme="majorHAnsi" w:hAnsiTheme="majorHAnsi" w:cstheme="majorHAnsi"/>
          <w:lang w:bidi="pt-PT"/>
        </w:rPr>
        <w:t> </w:t>
      </w:r>
      <w:r w:rsidRPr="00893AA5">
        <w:rPr>
          <w:rFonts w:asciiTheme="majorHAnsi" w:hAnsiTheme="majorHAnsi" w:cstheme="majorHAnsi"/>
          <w:lang w:bidi="pt-PT"/>
        </w:rPr>
        <w:t>melhorar as aptidões e o conhecimento dos educadores através do estudo colaborativo, troca de conhecimentos e diálogo profissional, e (2)</w:t>
      </w:r>
      <w:r w:rsidR="00CB2ACB" w:rsidRPr="00893AA5">
        <w:rPr>
          <w:rFonts w:asciiTheme="majorHAnsi" w:hAnsiTheme="majorHAnsi" w:cstheme="majorHAnsi"/>
          <w:lang w:bidi="pt-PT"/>
        </w:rPr>
        <w:t> </w:t>
      </w:r>
      <w:r w:rsidRPr="00893AA5">
        <w:rPr>
          <w:rFonts w:asciiTheme="majorHAnsi" w:hAnsiTheme="majorHAnsi" w:cstheme="majorHAnsi"/>
          <w:lang w:bidi="pt-PT"/>
        </w:rPr>
        <w:t xml:space="preserve">melhorar as aspirações educacionais, os resultados e o desempenho dos estudantes através de uma liderança e ensino mais fortes. As comunidades de aprendizagem profissional geralmente funcionam como uma forma de </w:t>
      </w:r>
      <w:hyperlink r:id="rId34" w:tooltip="Atividade de investigação" w:history="1">
        <w:r w:rsidRPr="00893AA5">
          <w:rPr>
            <w:rStyle w:val="Hyperlink"/>
            <w:rFonts w:asciiTheme="majorHAnsi" w:hAnsiTheme="majorHAnsi" w:cstheme="majorHAnsi"/>
            <w:i/>
            <w:lang w:bidi="pt-PT"/>
          </w:rPr>
          <w:t>atividade de investigação</w:t>
        </w:r>
      </w:hyperlink>
      <w:r w:rsidRPr="00893AA5">
        <w:rPr>
          <w:rFonts w:asciiTheme="majorHAnsi" w:hAnsiTheme="majorHAnsi" w:cstheme="majorHAnsi"/>
          <w:lang w:bidi="pt-PT"/>
        </w:rPr>
        <w:t>, ou seja, como uma forma de questionar, reavaliar, refinar e melhorar continuamente as estratégias e o conhecimento de ensino (</w:t>
      </w:r>
      <w:hyperlink r:id="rId35" w:history="1">
        <w:r w:rsidRPr="00893AA5">
          <w:rPr>
            <w:rStyle w:val="Hyperlink"/>
            <w:rFonts w:asciiTheme="majorHAnsi" w:hAnsiTheme="majorHAnsi" w:cstheme="majorHAnsi"/>
            <w:lang w:bidi="pt-PT"/>
          </w:rPr>
          <w:t>Great Schools Partnership, 2014</w:t>
        </w:r>
      </w:hyperlink>
      <w:r w:rsidRPr="00893AA5">
        <w:rPr>
          <w:rFonts w:asciiTheme="majorHAnsi" w:hAnsiTheme="majorHAnsi" w:cstheme="majorHAnsi"/>
          <w:lang w:bidi="pt-PT"/>
        </w:rPr>
        <w:t>).</w:t>
      </w:r>
    </w:p>
    <w:p w14:paraId="1C73368D" w14:textId="77777777" w:rsidR="003B2947" w:rsidRPr="00893AA5" w:rsidRDefault="003B2947" w:rsidP="003B2947">
      <w:pPr>
        <w:pStyle w:val="Agency-body-text"/>
        <w:rPr>
          <w:rFonts w:asciiTheme="majorHAnsi" w:hAnsiTheme="majorHAnsi" w:cstheme="majorHAnsi"/>
        </w:rPr>
      </w:pPr>
      <w:r w:rsidRPr="00893AA5">
        <w:rPr>
          <w:rFonts w:asciiTheme="majorHAnsi" w:hAnsiTheme="majorHAnsi" w:cstheme="majorHAnsi"/>
          <w:b/>
          <w:i/>
          <w:lang w:bidi="pt-PT"/>
        </w:rPr>
        <w:t>Continuum</w:t>
      </w:r>
      <w:r w:rsidRPr="00893AA5">
        <w:rPr>
          <w:rFonts w:asciiTheme="majorHAnsi" w:hAnsiTheme="majorHAnsi" w:cstheme="majorHAnsi"/>
          <w:b/>
          <w:lang w:bidi="pt-PT"/>
        </w:rPr>
        <w:t xml:space="preserve"> de apoio</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 xml:space="preserve">um </w:t>
      </w:r>
      <w:r w:rsidRPr="00893AA5">
        <w:rPr>
          <w:rFonts w:asciiTheme="majorHAnsi" w:hAnsiTheme="majorHAnsi" w:cstheme="majorHAnsi"/>
          <w:i/>
          <w:lang w:bidi="pt-PT"/>
        </w:rPr>
        <w:t>continuum</w:t>
      </w:r>
      <w:r w:rsidRPr="00893AA5">
        <w:rPr>
          <w:rFonts w:asciiTheme="majorHAnsi" w:hAnsiTheme="majorHAnsi" w:cstheme="majorHAnsi"/>
          <w:lang w:bidi="pt-PT"/>
        </w:rPr>
        <w:t xml:space="preserve"> de apoio e serviços atende a toda a gama de necessidades adicionais encontradas em cada escola. Pode variar de uma ajuda mínima em salas de aula de ensino regular a programas adicionais de apoio à aprendizagem dentro da escola. Também se estende, quando necessário, à assistência de professores especializados e uma equipa de apoio externa. Um </w:t>
      </w:r>
      <w:r w:rsidRPr="00893AA5">
        <w:rPr>
          <w:rFonts w:asciiTheme="majorHAnsi" w:hAnsiTheme="majorHAnsi" w:cstheme="majorHAnsi"/>
          <w:i/>
          <w:lang w:bidi="pt-PT"/>
        </w:rPr>
        <w:t>continuum</w:t>
      </w:r>
      <w:r w:rsidRPr="00893AA5">
        <w:rPr>
          <w:rFonts w:asciiTheme="majorHAnsi" w:hAnsiTheme="majorHAnsi" w:cstheme="majorHAnsi"/>
          <w:lang w:bidi="pt-PT"/>
        </w:rPr>
        <w:t xml:space="preserve"> de apoio garante uma transição coerente dentro dos sistemas educativos e dos sistemas educativos para o trabalho. Também garante a cooperação entre as diferentes partes interessadas envolvidas.</w:t>
      </w:r>
    </w:p>
    <w:p w14:paraId="6ADA4D62" w14:textId="275A487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Desenvolvimento de capacidades</w:t>
      </w:r>
      <w:r w:rsidRPr="00893AA5">
        <w:rPr>
          <w:rFonts w:asciiTheme="majorHAnsi" w:hAnsiTheme="majorHAnsi" w:cstheme="majorHAnsi"/>
          <w:lang w:bidi="pt-PT"/>
        </w:rPr>
        <w:t>: os processos para desenvolver e fortalecer as atitudes, aptidões e habilidades dos profissionais. Também considera o apoio e os recursos que as organizações e comunidades educativas precisam para desenvolver os procedimentos de trabalho necessários para a educação inclusiva.</w:t>
      </w:r>
    </w:p>
    <w:p w14:paraId="498E8A49" w14:textId="3F7EDF6C"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Diversidade</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um conceito multifacetado que pode conter muitos elementos e níveis de distinção, por exemplo, idade, etnia, classe, género, habilidades físicas, raça, orientação sexual, religião, qualificações, localização geográfica, rendimentos, estado civil, estatuto familiar e experiências de trabalho.</w:t>
      </w:r>
    </w:p>
    <w:p w14:paraId="3EA570B1" w14:textId="77777777" w:rsidR="00566F1A" w:rsidRPr="00893AA5" w:rsidRDefault="00566F1A" w:rsidP="00505BA1">
      <w:pPr>
        <w:pStyle w:val="Agency-body-text"/>
        <w:keepLines/>
        <w:rPr>
          <w:rFonts w:asciiTheme="majorHAnsi" w:hAnsiTheme="majorHAnsi" w:cstheme="majorHAnsi"/>
        </w:rPr>
      </w:pPr>
      <w:r w:rsidRPr="00893AA5">
        <w:rPr>
          <w:rFonts w:asciiTheme="majorHAnsi" w:hAnsiTheme="majorHAnsi" w:cstheme="majorHAnsi"/>
          <w:b/>
          <w:lang w:bidi="pt-PT"/>
        </w:rPr>
        <w:lastRenderedPageBreak/>
        <w:t>A educação inclusiva</w:t>
      </w:r>
      <w:r w:rsidRPr="00893AA5">
        <w:rPr>
          <w:rFonts w:asciiTheme="majorHAnsi" w:hAnsiTheme="majorHAnsi" w:cstheme="majorHAnsi"/>
          <w:lang w:bidi="pt-PT"/>
        </w:rPr>
        <w:t xml:space="preserve"> supõe uma mudança real, tanto a nível político como prático, no que diz respeito à educação. Os alunos são colocados no centro de um sistema que têm de ser capaz de reconhecer, aceitar e responder à diversidade dos alunos. A educação inclusiva visa responder aos princípios de eficiência, igualdade e equidade, onde a diversidade é reconhecida como uma mais-valia. Os alunos também precisam de estar preparados para participar na sociedade, ter acesso a uma cidadania significativa e reconhecer os valores dos direitos humanos, liberdade, tolerância e não discriminação.</w:t>
      </w:r>
    </w:p>
    <w:p w14:paraId="3F71C11B" w14:textId="55F80FDA"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Financiamento</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os mecanismos de alocação de recursos (financeiros, humanos, técnicos, etc.) que promovem a inclusão.</w:t>
      </w:r>
    </w:p>
    <w:p w14:paraId="0C54DCFD" w14:textId="77777777" w:rsidR="00566F1A" w:rsidRPr="00893AA5" w:rsidRDefault="00566F1A" w:rsidP="00373FA0">
      <w:pPr>
        <w:pStyle w:val="Agency-body-text"/>
        <w:rPr>
          <w:rFonts w:asciiTheme="majorHAnsi" w:hAnsiTheme="majorHAnsi" w:cstheme="majorHAnsi"/>
        </w:rPr>
      </w:pPr>
      <w:r w:rsidRPr="00893AA5">
        <w:rPr>
          <w:rFonts w:asciiTheme="majorHAnsi" w:hAnsiTheme="majorHAnsi" w:cstheme="majorHAnsi"/>
          <w:b/>
          <w:lang w:bidi="pt-PT"/>
        </w:rPr>
        <w:t>A formação profissional</w:t>
      </w:r>
      <w:r w:rsidRPr="00893AA5">
        <w:rPr>
          <w:rFonts w:asciiTheme="majorHAnsi" w:hAnsiTheme="majorHAnsi" w:cstheme="majorHAnsi"/>
          <w:lang w:bidi="pt-PT"/>
        </w:rPr>
        <w:t xml:space="preserve"> refere-se a qualquer atividade em que os profissionais da educação se envolvam com o objetivo de estimular o seu pensamento e conhecimento profissional e de melhorar a sua prática, garantindo que se baseia em conhecimentos fundamentado e atualizados. A formação profissional inclui atividades que ocorrem ao longo da carreira profissional de um indivíduo.</w:t>
      </w:r>
    </w:p>
    <w:p w14:paraId="0F9325C2" w14:textId="1F726CCB" w:rsidR="003B2947" w:rsidRPr="00893AA5" w:rsidRDefault="003B2947" w:rsidP="003B2947">
      <w:pPr>
        <w:pStyle w:val="Agency-body-text"/>
        <w:rPr>
          <w:rFonts w:asciiTheme="majorHAnsi" w:hAnsiTheme="majorHAnsi" w:cstheme="majorHAnsi"/>
        </w:rPr>
      </w:pPr>
      <w:r w:rsidRPr="00893AA5">
        <w:rPr>
          <w:rFonts w:asciiTheme="majorHAnsi" w:hAnsiTheme="majorHAnsi" w:cstheme="majorHAnsi"/>
          <w:b/>
          <w:lang w:bidi="pt-PT"/>
        </w:rPr>
        <w:t>Garantia de qualidade</w:t>
      </w:r>
      <w:r w:rsidRPr="00893AA5">
        <w:rPr>
          <w:rFonts w:asciiTheme="majorHAnsi" w:hAnsiTheme="majorHAnsi" w:cstheme="majorHAnsi"/>
          <w:lang w:bidi="pt-PT"/>
        </w:rPr>
        <w:t>: «A prática de gerir a forma como os bens são produzidos ou os serviços são fornecidos para garantir que sejam mantidos num alto padrão de qualidade» (</w:t>
      </w:r>
      <w:hyperlink r:id="rId36" w:history="1">
        <w:r w:rsidRPr="00893AA5">
          <w:rPr>
            <w:rStyle w:val="Hyperlink"/>
            <w:rFonts w:asciiTheme="majorHAnsi" w:hAnsiTheme="majorHAnsi" w:cstheme="majorHAnsi"/>
            <w:lang w:bidi="pt-PT"/>
          </w:rPr>
          <w:t>Oxford Learner</w:t>
        </w:r>
        <w:r w:rsidR="006140BD" w:rsidRPr="00893AA5">
          <w:rPr>
            <w:rStyle w:val="Hyperlink"/>
            <w:rFonts w:asciiTheme="majorHAnsi" w:hAnsiTheme="majorHAnsi" w:cstheme="majorHAnsi"/>
            <w:lang w:bidi="pt-PT"/>
          </w:rPr>
          <w:t>’</w:t>
        </w:r>
        <w:r w:rsidRPr="00893AA5">
          <w:rPr>
            <w:rStyle w:val="Hyperlink"/>
            <w:rFonts w:asciiTheme="majorHAnsi" w:hAnsiTheme="majorHAnsi" w:cstheme="majorHAnsi"/>
            <w:lang w:bidi="pt-PT"/>
          </w:rPr>
          <w:t>s Dictionaries</w:t>
        </w:r>
      </w:hyperlink>
      <w:r w:rsidRPr="00893AA5">
        <w:rPr>
          <w:rFonts w:asciiTheme="majorHAnsi" w:hAnsiTheme="majorHAnsi" w:cstheme="majorHAnsi"/>
          <w:lang w:bidi="pt-PT"/>
        </w:rPr>
        <w:t>).</w:t>
      </w:r>
    </w:p>
    <w:p w14:paraId="1B1C2F16" w14:textId="77777777" w:rsidR="003B2947" w:rsidRPr="00893AA5" w:rsidRDefault="003B2947" w:rsidP="003B2947">
      <w:pPr>
        <w:pStyle w:val="Agency-body-text"/>
        <w:rPr>
          <w:rFonts w:asciiTheme="majorHAnsi" w:hAnsiTheme="majorHAnsi" w:cstheme="majorHAnsi"/>
        </w:rPr>
      </w:pPr>
      <w:r w:rsidRPr="00893AA5">
        <w:rPr>
          <w:rFonts w:asciiTheme="majorHAnsi" w:hAnsiTheme="majorHAnsi" w:cstheme="majorHAnsi"/>
          <w:lang w:bidi="pt-PT"/>
        </w:rPr>
        <w:t>A garantia de qualidade refere-se às «políticas, procedimentos e práticas concebidos para alcançar, manter e melhorar a qualidade na educação inclusiva». Também envolve «como as organizações educativas prestam contas pelas suas atividades, aceitam responsabilidade pelas mesmas e partilham informação sobre os seus resultados de forma aberta e transparente» (</w:t>
      </w:r>
      <w:hyperlink r:id="rId37" w:history="1">
        <w:r w:rsidRPr="00893AA5">
          <w:rPr>
            <w:rStyle w:val="Hyperlink"/>
            <w:rFonts w:asciiTheme="majorHAnsi" w:hAnsiTheme="majorHAnsi" w:cstheme="majorHAnsi"/>
            <w:lang w:bidi="pt-PT"/>
          </w:rPr>
          <w:t>Agência Europeia, 2018</w:t>
        </w:r>
      </w:hyperlink>
      <w:r w:rsidRPr="00893AA5">
        <w:rPr>
          <w:rFonts w:asciiTheme="majorHAnsi" w:hAnsiTheme="majorHAnsi" w:cstheme="majorHAnsi"/>
          <w:lang w:bidi="pt-PT"/>
        </w:rPr>
        <w:t>, p. 17).</w:t>
      </w:r>
    </w:p>
    <w:p w14:paraId="4C21D92B" w14:textId="42BCF4CE"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Governação</w:t>
      </w:r>
      <w:r w:rsidRPr="00505BA1">
        <w:rPr>
          <w:rFonts w:asciiTheme="majorHAnsi" w:hAnsiTheme="majorHAnsi" w:cstheme="majorHAnsi"/>
          <w:bCs/>
          <w:lang w:bidi="pt-PT"/>
        </w:rPr>
        <w:t>:</w:t>
      </w:r>
      <w:r w:rsidRPr="00893AA5">
        <w:rPr>
          <w:rFonts w:asciiTheme="majorHAnsi" w:hAnsiTheme="majorHAnsi" w:cstheme="majorHAnsi"/>
          <w:bCs/>
          <w:lang w:bidi="pt-PT"/>
        </w:rPr>
        <w:t xml:space="preserve"> a</w:t>
      </w:r>
      <w:r w:rsidRPr="00893AA5">
        <w:rPr>
          <w:rFonts w:asciiTheme="majorHAnsi" w:hAnsiTheme="majorHAnsi" w:cstheme="majorHAnsi"/>
          <w:lang w:bidi="pt-PT"/>
        </w:rPr>
        <w:t xml:space="preserve">s estruturas e processos que são concebidos para garantir a responsabilidade, transparência e capacidade de resposta do sistema educativo. Tal pode incluir, por exemplo, a construção de redes dentro e fora das escolas, mecanismos de monitorização e responsabilidade, abordagens de avaliação (modelo pedagógico </w:t>
      </w:r>
      <w:r w:rsidRPr="00893AA5">
        <w:rPr>
          <w:rFonts w:asciiTheme="majorHAnsi" w:hAnsiTheme="majorHAnsi" w:cstheme="majorHAnsi"/>
          <w:i/>
          <w:lang w:bidi="pt-PT"/>
        </w:rPr>
        <w:t>versus</w:t>
      </w:r>
      <w:r w:rsidRPr="00893AA5">
        <w:rPr>
          <w:rFonts w:asciiTheme="majorHAnsi" w:hAnsiTheme="majorHAnsi" w:cstheme="majorHAnsi"/>
          <w:lang w:bidi="pt-PT"/>
        </w:rPr>
        <w:t xml:space="preserve"> modelo de avaliação diagnóstico), etc.</w:t>
      </w:r>
    </w:p>
    <w:p w14:paraId="22DD6A17" w14:textId="0F736989"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Indicadores</w:t>
      </w:r>
      <w:r w:rsidRPr="00505BA1">
        <w:rPr>
          <w:rFonts w:asciiTheme="majorHAnsi" w:hAnsiTheme="majorHAnsi" w:cstheme="majorHAnsi"/>
          <w:bCs/>
          <w:lang w:bidi="pt-PT"/>
        </w:rPr>
        <w:t>:</w:t>
      </w:r>
      <w:r w:rsidRPr="00893AA5">
        <w:rPr>
          <w:rFonts w:asciiTheme="majorHAnsi" w:hAnsiTheme="majorHAnsi" w:cstheme="majorHAnsi"/>
          <w:bCs/>
          <w:lang w:bidi="pt-PT"/>
        </w:rPr>
        <w:t xml:space="preserve"> </w:t>
      </w:r>
      <w:r w:rsidRPr="00893AA5">
        <w:rPr>
          <w:rFonts w:asciiTheme="majorHAnsi" w:hAnsiTheme="majorHAnsi" w:cstheme="majorHAnsi"/>
          <w:lang w:bidi="pt-PT"/>
        </w:rPr>
        <w:t>medidas baseadas em evidências (qualitativas e quantitativas) que permitem a monitorização da qualidade e implementação da educação inclusiva.</w:t>
      </w:r>
    </w:p>
    <w:p w14:paraId="7CB867EE" w14:textId="77777777" w:rsidR="003B2947" w:rsidRPr="00893AA5" w:rsidRDefault="003B2947" w:rsidP="003B2947">
      <w:pPr>
        <w:pStyle w:val="Agency-body-text"/>
        <w:rPr>
          <w:rFonts w:asciiTheme="majorHAnsi" w:hAnsiTheme="majorHAnsi" w:cstheme="majorHAnsi"/>
        </w:rPr>
      </w:pPr>
      <w:r w:rsidRPr="00893AA5">
        <w:rPr>
          <w:rFonts w:asciiTheme="majorHAnsi" w:hAnsiTheme="majorHAnsi" w:cstheme="majorHAnsi"/>
          <w:b/>
          <w:lang w:bidi="pt-PT"/>
        </w:rPr>
        <w:t>Parte interessada</w:t>
      </w:r>
      <w:r w:rsidRPr="00893AA5">
        <w:rPr>
          <w:rFonts w:asciiTheme="majorHAnsi" w:hAnsiTheme="majorHAnsi" w:cstheme="majorHAnsi"/>
          <w:lang w:bidi="pt-PT"/>
        </w:rPr>
        <w:t>: refere-se a decisores políticos, profissionais da educação, diretores das escolas, alunos/colegas, famílias e membros da comunidade.</w:t>
      </w:r>
    </w:p>
    <w:p w14:paraId="6ACF358D" w14:textId="03C45C5A" w:rsidR="00B30C09"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Plano/programa de educação individual (PEI)</w:t>
      </w:r>
      <w:r w:rsidRPr="00893AA5">
        <w:rPr>
          <w:rFonts w:asciiTheme="majorHAnsi" w:hAnsiTheme="majorHAnsi" w:cstheme="majorHAnsi"/>
          <w:lang w:bidi="pt-PT"/>
        </w:rPr>
        <w:t>: «Plano escrito que define o nível atual de desempenho do aluno, juntamente com metas e objetivos, bem como serviços e cronogramas para atingir essas metas e objetivos» (</w:t>
      </w:r>
      <w:hyperlink r:id="rId38" w:history="1">
        <w:r w:rsidR="00B30C09" w:rsidRPr="00893AA5">
          <w:rPr>
            <w:rStyle w:val="Hyperlink"/>
            <w:rFonts w:asciiTheme="majorHAnsi" w:hAnsiTheme="majorHAnsi" w:cstheme="majorHAnsi"/>
            <w:lang w:bidi="pt-PT"/>
          </w:rPr>
          <w:t>UNESCO, 2020</w:t>
        </w:r>
      </w:hyperlink>
      <w:r w:rsidRPr="00893AA5">
        <w:rPr>
          <w:rFonts w:asciiTheme="majorHAnsi" w:hAnsiTheme="majorHAnsi" w:cstheme="majorHAnsi"/>
          <w:lang w:bidi="pt-PT"/>
        </w:rPr>
        <w:t>, p.</w:t>
      </w:r>
      <w:r w:rsidR="00664EEE">
        <w:rPr>
          <w:rFonts w:asciiTheme="majorHAnsi" w:hAnsiTheme="majorHAnsi" w:cstheme="majorHAnsi"/>
          <w:lang w:bidi="pt-PT"/>
        </w:rPr>
        <w:t> </w:t>
      </w:r>
      <w:r w:rsidRPr="00893AA5">
        <w:rPr>
          <w:rFonts w:asciiTheme="majorHAnsi" w:hAnsiTheme="majorHAnsi" w:cstheme="majorHAnsi"/>
          <w:lang w:bidi="pt-PT"/>
        </w:rPr>
        <w:t>420).</w:t>
      </w:r>
    </w:p>
    <w:p w14:paraId="2DDC75C8" w14:textId="47F8B09E" w:rsidR="00776FBF" w:rsidRPr="00893AA5" w:rsidRDefault="00B30C09" w:rsidP="00591FE3">
      <w:pPr>
        <w:pStyle w:val="Agency-body-text"/>
        <w:rPr>
          <w:rFonts w:asciiTheme="majorHAnsi" w:hAnsiTheme="majorHAnsi" w:cstheme="majorHAnsi"/>
        </w:rPr>
      </w:pPr>
      <w:r w:rsidRPr="00893AA5">
        <w:rPr>
          <w:rFonts w:asciiTheme="majorHAnsi" w:hAnsiTheme="majorHAnsi" w:cstheme="majorHAnsi"/>
          <w:lang w:bidi="pt-PT"/>
        </w:rPr>
        <w:t>Pais, alunos e outros profissionais/especialistas podem participar no desenvolvimento de planos de educação individuais.</w:t>
      </w:r>
    </w:p>
    <w:p w14:paraId="753F4E64" w14:textId="003BC4EA"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b/>
          <w:lang w:bidi="pt-PT"/>
        </w:rPr>
        <w:t>Profissionais especializados</w:t>
      </w:r>
      <w:r w:rsidRPr="00893AA5">
        <w:rPr>
          <w:rFonts w:asciiTheme="majorHAnsi" w:hAnsiTheme="majorHAnsi" w:cstheme="majorHAnsi"/>
          <w:lang w:bidi="pt-PT"/>
        </w:rPr>
        <w:t>: pessoal especialmente formado que trabalha para a identificação/avaliação, educação e cuidado eficaz de alunos com necessidades de apoio adicionais. Tal pode incluir: coordenadores de educação especial, educadores especiais (professores de educação especial), assistentes de apoio à aprendizagem (assistentes de ensino), psicólogos educacionais, terapeutas ocupacionais, terapeutas da fala e da língua (fonoaudiólogos), assistentes escolares (assistentes de cuidado/acompanhantes escolares), assistentes sociais, etc.</w:t>
      </w:r>
    </w:p>
    <w:p w14:paraId="172C521B" w14:textId="3C8FF63D" w:rsidR="00776FBF" w:rsidRPr="00893AA5" w:rsidRDefault="00776FBF" w:rsidP="00907466">
      <w:pPr>
        <w:pStyle w:val="Agency-body-text"/>
        <w:keepNext/>
        <w:rPr>
          <w:rFonts w:asciiTheme="majorHAnsi" w:hAnsiTheme="majorHAnsi" w:cstheme="majorHAnsi"/>
        </w:rPr>
      </w:pPr>
      <w:r w:rsidRPr="00893AA5">
        <w:rPr>
          <w:rFonts w:asciiTheme="majorHAnsi" w:hAnsiTheme="majorHAnsi" w:cstheme="majorHAnsi"/>
          <w:b/>
          <w:lang w:bidi="pt-PT"/>
        </w:rPr>
        <w:lastRenderedPageBreak/>
        <w:t>Serviços especializados</w:t>
      </w:r>
      <w:r w:rsidRPr="00893AA5">
        <w:rPr>
          <w:rFonts w:asciiTheme="majorHAnsi" w:hAnsiTheme="majorHAnsi" w:cstheme="majorHAnsi"/>
          <w:lang w:bidi="pt-PT"/>
        </w:rPr>
        <w:t>: o termo «serviços» inclui todas as formas de apoio que podem ajudar no processo de participação na educação para alunos com necessidades de apoio adicionais: currículo, procedimentos de avaliação, formas de pedagogia, organização e gestão e recursos. O termo «serviços especializados» abrange diferentes tipos de serviços especializados, especificamente:</w:t>
      </w:r>
    </w:p>
    <w:p w14:paraId="1A569F3E" w14:textId="79E65720" w:rsidR="00776FBF" w:rsidRPr="00893AA5" w:rsidRDefault="00776FBF" w:rsidP="00591FE3">
      <w:pPr>
        <w:pStyle w:val="Agency-body-text"/>
        <w:numPr>
          <w:ilvl w:val="0"/>
          <w:numId w:val="48"/>
        </w:numPr>
        <w:rPr>
          <w:rFonts w:asciiTheme="majorHAnsi" w:hAnsiTheme="majorHAnsi" w:cstheme="majorHAnsi"/>
        </w:rPr>
      </w:pPr>
      <w:r w:rsidRPr="00893AA5">
        <w:rPr>
          <w:rFonts w:asciiTheme="majorHAnsi" w:hAnsiTheme="majorHAnsi" w:cstheme="majorHAnsi"/>
          <w:lang w:bidi="pt-PT"/>
        </w:rPr>
        <w:t>serviços escolares, que garante assistência aos alunos que estão nas salas de aula de ensino regular ou parcialmente fora das salas de aula de ensino regular (salas especiais, unidades, programas, aulas de inclusão e apoio paralelo, ou seja, serviço individual por pessoal especializado);</w:t>
      </w:r>
    </w:p>
    <w:p w14:paraId="0827C14D" w14:textId="14A96615" w:rsidR="00776FBF" w:rsidRPr="00893AA5" w:rsidRDefault="00776FBF" w:rsidP="00591FE3">
      <w:pPr>
        <w:pStyle w:val="Agency-body-text"/>
        <w:numPr>
          <w:ilvl w:val="0"/>
          <w:numId w:val="47"/>
        </w:numPr>
        <w:rPr>
          <w:rFonts w:asciiTheme="majorHAnsi" w:hAnsiTheme="majorHAnsi" w:cstheme="majorHAnsi"/>
        </w:rPr>
      </w:pPr>
      <w:r w:rsidRPr="00893AA5">
        <w:rPr>
          <w:rFonts w:asciiTheme="majorHAnsi" w:hAnsiTheme="majorHAnsi" w:cstheme="majorHAnsi"/>
          <w:lang w:bidi="pt-PT"/>
        </w:rPr>
        <w:t>serviços externos para as escolas com o objetivo de capacitá-las a agir de forma inclusiva (centros de recursos, redes de escolas especiais, redes de escolas regulares e especiais);</w:t>
      </w:r>
    </w:p>
    <w:p w14:paraId="782F6E27" w14:textId="41BDE60E" w:rsidR="00776FBF" w:rsidRPr="00893AA5" w:rsidRDefault="00776FBF" w:rsidP="00591FE3">
      <w:pPr>
        <w:pStyle w:val="Agency-body-text"/>
        <w:numPr>
          <w:ilvl w:val="0"/>
          <w:numId w:val="47"/>
        </w:numPr>
        <w:rPr>
          <w:rFonts w:asciiTheme="majorHAnsi" w:hAnsiTheme="majorHAnsi" w:cstheme="majorHAnsi"/>
        </w:rPr>
      </w:pPr>
      <w:r w:rsidRPr="00893AA5">
        <w:rPr>
          <w:rFonts w:asciiTheme="majorHAnsi" w:hAnsiTheme="majorHAnsi" w:cstheme="majorHAnsi"/>
          <w:lang w:bidi="pt-PT"/>
        </w:rPr>
        <w:t>serviços externos para as escolas através de apoio individualizado a alunos matriculados em ambientes regulares (fisioterapeutas, terapeutas da fala) com o apoio de autoridades de educação, saúde ou bem-estar;</w:t>
      </w:r>
    </w:p>
    <w:p w14:paraId="2DED417D" w14:textId="506E1193" w:rsidR="00776FBF" w:rsidRPr="00893AA5" w:rsidRDefault="00776FBF" w:rsidP="00591FE3">
      <w:pPr>
        <w:pStyle w:val="Agency-body-text"/>
        <w:numPr>
          <w:ilvl w:val="0"/>
          <w:numId w:val="47"/>
        </w:numPr>
        <w:rPr>
          <w:rFonts w:asciiTheme="majorHAnsi" w:hAnsiTheme="majorHAnsi" w:cstheme="majorHAnsi"/>
        </w:rPr>
      </w:pPr>
      <w:r w:rsidRPr="00893AA5">
        <w:rPr>
          <w:rFonts w:asciiTheme="majorHAnsi" w:hAnsiTheme="majorHAnsi" w:cstheme="majorHAnsi"/>
          <w:lang w:bidi="pt-PT"/>
        </w:rPr>
        <w:t>serviços externos para os alunos, como escolas especiais dedicadas a alunos que necessitam de apoio intensivo, sob a responsabilidade das autoridades de educação, saúde ou bem-estar.</w:t>
      </w:r>
    </w:p>
    <w:bookmarkEnd w:id="14"/>
    <w:p w14:paraId="43789397" w14:textId="34B268EE"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br w:type="page"/>
      </w:r>
    </w:p>
    <w:p w14:paraId="03C2E25F" w14:textId="321E297C" w:rsidR="00776FBF" w:rsidRPr="00893AA5" w:rsidRDefault="00D34F24" w:rsidP="00907466">
      <w:pPr>
        <w:pStyle w:val="Agency-heading-1"/>
        <w:rPr>
          <w:rFonts w:asciiTheme="majorHAnsi" w:hAnsiTheme="majorHAnsi" w:cstheme="majorHAnsi"/>
        </w:rPr>
      </w:pPr>
      <w:bookmarkStart w:id="15" w:name="_Toc128142436"/>
      <w:r w:rsidRPr="00893AA5">
        <w:rPr>
          <w:rFonts w:asciiTheme="majorHAnsi" w:hAnsiTheme="majorHAnsi" w:cstheme="majorHAnsi"/>
          <w:lang w:bidi="pt-PT"/>
        </w:rPr>
        <w:lastRenderedPageBreak/>
        <w:t>Anexo 2: A estrutura da ferramenta</w:t>
      </w:r>
      <w:bookmarkEnd w:id="15"/>
    </w:p>
    <w:p w14:paraId="66731A2C" w14:textId="398DFF4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Com base nas informações do trabalho do CROSP, a ferramenta inclui princípios orientadores, prioridades e estratégias políticas, bem como ações-chave de apoio à mudança do papel dos serviços especializados. A ferramenta baseia-se em investigações anteriores, bem como em atividades anteriores da Agência que mostram fatores e mecanismos importantes subjacentes à transformação dos sistemas educativos.</w:t>
      </w:r>
    </w:p>
    <w:p w14:paraId="68BFE4A5" w14:textId="3B7AD820" w:rsidR="00776FBF" w:rsidRPr="00893AA5" w:rsidRDefault="00776FBF" w:rsidP="00907466">
      <w:pPr>
        <w:pStyle w:val="Agency-heading-2"/>
        <w:rPr>
          <w:rFonts w:asciiTheme="majorHAnsi" w:hAnsiTheme="majorHAnsi" w:cstheme="majorHAnsi"/>
        </w:rPr>
      </w:pPr>
      <w:bookmarkStart w:id="16" w:name="_Toc128142437"/>
      <w:r w:rsidRPr="00893AA5">
        <w:rPr>
          <w:rFonts w:asciiTheme="majorHAnsi" w:hAnsiTheme="majorHAnsi" w:cstheme="majorHAnsi"/>
          <w:lang w:bidi="pt-PT"/>
        </w:rPr>
        <w:t>Princípios orientadores</w:t>
      </w:r>
      <w:bookmarkEnd w:id="16"/>
    </w:p>
    <w:p w14:paraId="24B385E7" w14:textId="0F2E19E1"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Os princípios orientadores são princípios gerais que sustentam a implementação de políticas e estratégias e a capacidade das partes interessadas para implementar a educação inclusiva diariamente.</w:t>
      </w:r>
    </w:p>
    <w:p w14:paraId="1B19F8F4" w14:textId="16C08C79"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Podem ser vistos como </w:t>
      </w:r>
      <w:r w:rsidRPr="00893AA5">
        <w:rPr>
          <w:rFonts w:asciiTheme="majorHAnsi" w:hAnsiTheme="majorHAnsi" w:cstheme="majorHAnsi"/>
          <w:b/>
          <w:lang w:bidi="pt-PT"/>
        </w:rPr>
        <w:t>temas abrangentes</w:t>
      </w:r>
      <w:r w:rsidRPr="00893AA5">
        <w:rPr>
          <w:rFonts w:asciiTheme="majorHAnsi" w:hAnsiTheme="majorHAnsi" w:cstheme="majorHAnsi"/>
          <w:lang w:bidi="pt-PT"/>
        </w:rPr>
        <w:t xml:space="preserve"> intimamente ligados à mudança do papel dos serviços especializados. Proporcionam às partes interessadas dos serviços regulares e especializados uma visão partilhada do papel dos serviços especializados, apoiando assim a cooperação. Alinham-se e fornecem evidências adicionais aos recentes </w:t>
      </w:r>
      <w:hyperlink r:id="rId39" w:history="1">
        <w:r w:rsidR="00E97E0F" w:rsidRPr="00893AA5">
          <w:rPr>
            <w:rStyle w:val="Hyperlink"/>
            <w:rFonts w:asciiTheme="majorHAnsi" w:hAnsiTheme="majorHAnsi" w:cstheme="majorHAnsi"/>
            <w:i/>
            <w:lang w:bidi="pt-PT"/>
          </w:rPr>
          <w:t>Princípios-Chave</w:t>
        </w:r>
      </w:hyperlink>
      <w:r w:rsidRPr="00893AA5">
        <w:rPr>
          <w:rFonts w:asciiTheme="majorHAnsi" w:hAnsiTheme="majorHAnsi" w:cstheme="majorHAnsi"/>
          <w:lang w:bidi="pt-PT"/>
        </w:rPr>
        <w:t xml:space="preserve"> da Agência (Agência Europeia, 2021) que apoiam a implementação do desenvolvimento e da prática de políticas inclusivas.</w:t>
      </w:r>
    </w:p>
    <w:p w14:paraId="4E707405" w14:textId="27B5BA3D" w:rsidR="00776FBF"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 xml:space="preserve">Foram identificados seis princípios orientadores mutuamente complementares durante os </w:t>
      </w:r>
      <w:r w:rsidRPr="00893AA5">
        <w:rPr>
          <w:rFonts w:asciiTheme="majorHAnsi" w:hAnsiTheme="majorHAnsi" w:cstheme="majorHAnsi"/>
          <w:i/>
          <w:lang w:bidi="pt-PT"/>
        </w:rPr>
        <w:t>workshops</w:t>
      </w:r>
      <w:r w:rsidRPr="00893AA5">
        <w:rPr>
          <w:rFonts w:asciiTheme="majorHAnsi" w:hAnsiTheme="majorHAnsi" w:cstheme="majorHAnsi"/>
          <w:lang w:bidi="pt-PT"/>
        </w:rPr>
        <w:t xml:space="preserve"> temáticos:</w:t>
      </w:r>
    </w:p>
    <w:p w14:paraId="4B1FB351" w14:textId="2B292232" w:rsidR="00776FBF" w:rsidRPr="00893AA5" w:rsidRDefault="00776FBF" w:rsidP="00907466">
      <w:pPr>
        <w:pStyle w:val="Agency-heading-3"/>
        <w:rPr>
          <w:rFonts w:asciiTheme="majorHAnsi" w:hAnsiTheme="majorHAnsi" w:cstheme="majorHAnsi"/>
        </w:rPr>
      </w:pPr>
      <w:r w:rsidRPr="00893AA5">
        <w:rPr>
          <w:rFonts w:asciiTheme="majorHAnsi" w:hAnsiTheme="majorHAnsi" w:cstheme="majorHAnsi"/>
          <w:lang w:bidi="pt-PT"/>
        </w:rPr>
        <w:t>Princípio orientador 1: Desenvolver um compromisso comum para a educação inclusiva</w:t>
      </w:r>
    </w:p>
    <w:p w14:paraId="1A2EF98D" w14:textId="6BB913AD" w:rsidR="00776FBF" w:rsidRPr="00893AA5"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893AA5">
        <w:rPr>
          <w:rFonts w:asciiTheme="majorHAnsi" w:hAnsiTheme="majorHAnsi" w:cstheme="majorHAnsi"/>
          <w:lang w:bidi="pt-PT"/>
        </w:rPr>
        <w:t>Todas as partes interessadas devem desenvolver valores partilhados e um compromisso comum para facultar a todos os alunos oportunidades de aprendizagem de alta qualidade em ambientes regulares. Os serviços especializados para alunos que precisam de apoio devem basear-se numa abordagem sociopedagógica, e não numa abordagem médica.</w:t>
      </w:r>
    </w:p>
    <w:p w14:paraId="172868DF" w14:textId="0204550C" w:rsidR="00776FBF" w:rsidRPr="00893AA5" w:rsidRDefault="00D567CD" w:rsidP="00907466">
      <w:pPr>
        <w:pStyle w:val="Agency-heading-3"/>
        <w:rPr>
          <w:rFonts w:asciiTheme="majorHAnsi" w:hAnsiTheme="majorHAnsi" w:cstheme="majorHAnsi"/>
        </w:rPr>
      </w:pPr>
      <w:r w:rsidRPr="00893AA5">
        <w:rPr>
          <w:rFonts w:asciiTheme="majorHAnsi" w:hAnsiTheme="majorHAnsi" w:cstheme="majorHAnsi"/>
          <w:lang w:bidi="pt-PT"/>
        </w:rPr>
        <w:t>Princípio orientador 2: Promover a troca de conhecimentos e adquirir competências inclusivas através da cooperação e do trabalho em rede</w:t>
      </w:r>
    </w:p>
    <w:p w14:paraId="70D8A3EE" w14:textId="6A09A24E" w:rsidR="00776FBF" w:rsidRPr="00893AA5"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93AA5">
        <w:rPr>
          <w:rFonts w:asciiTheme="majorHAnsi" w:hAnsiTheme="majorHAnsi" w:cstheme="majorHAnsi"/>
          <w:lang w:bidi="pt-PT"/>
        </w:rPr>
        <w:t>Os decisores e os profissionais da educação, tanto do setor regular como do setor especializado, devem trocar conhecimentos através da colaboração em todos os níveis educativos, bem como a nível local/regional/nacional.</w:t>
      </w:r>
    </w:p>
    <w:p w14:paraId="0E1E883A" w14:textId="662DF769" w:rsidR="00D567CD" w:rsidRPr="00893AA5" w:rsidRDefault="00776FBF" w:rsidP="00907466">
      <w:pPr>
        <w:pStyle w:val="Agency-heading-3"/>
        <w:rPr>
          <w:rFonts w:asciiTheme="majorHAnsi" w:hAnsiTheme="majorHAnsi" w:cstheme="majorHAnsi"/>
        </w:rPr>
      </w:pPr>
      <w:r w:rsidRPr="00893AA5">
        <w:rPr>
          <w:rFonts w:asciiTheme="majorHAnsi" w:hAnsiTheme="majorHAnsi" w:cstheme="majorHAnsi"/>
          <w:lang w:bidi="pt-PT"/>
        </w:rPr>
        <w:t>Princípio orientador 3: Facultar formação profissional contínua sobre inclusão</w:t>
      </w:r>
    </w:p>
    <w:p w14:paraId="5B1D7856" w14:textId="243B7599" w:rsidR="00776FBF" w:rsidRPr="00893AA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93AA5">
        <w:rPr>
          <w:rFonts w:asciiTheme="majorHAnsi" w:hAnsiTheme="majorHAnsi" w:cstheme="majorHAnsi"/>
          <w:lang w:bidi="pt-PT"/>
        </w:rPr>
        <w:t>Devem ser facultadas oportunidades de aprendizagem contínua a toda a equipa de serviços especializados e regulares, incluindo elementos com cargos de liderança (ou seja, com o objetivo de incutir aptidões e competências inclusivas).</w:t>
      </w:r>
    </w:p>
    <w:p w14:paraId="112E54F2" w14:textId="6C55A065" w:rsidR="00D567CD" w:rsidRPr="00893AA5" w:rsidRDefault="00776FBF" w:rsidP="00907466">
      <w:pPr>
        <w:pStyle w:val="Agency-heading-3"/>
        <w:rPr>
          <w:rFonts w:asciiTheme="majorHAnsi" w:hAnsiTheme="majorHAnsi" w:cstheme="majorHAnsi"/>
        </w:rPr>
      </w:pPr>
      <w:r w:rsidRPr="00893AA5">
        <w:rPr>
          <w:rFonts w:asciiTheme="majorHAnsi" w:hAnsiTheme="majorHAnsi" w:cstheme="majorHAnsi"/>
          <w:lang w:bidi="pt-PT"/>
        </w:rPr>
        <w:t>Princípio orientador 4: Apoio à liderança e gestão da escola inclusiva</w:t>
      </w:r>
    </w:p>
    <w:p w14:paraId="1A5AEAFC" w14:textId="197BC126" w:rsidR="00776FBF" w:rsidRPr="00893AA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93AA5">
        <w:rPr>
          <w:rFonts w:asciiTheme="majorHAnsi" w:hAnsiTheme="majorHAnsi" w:cstheme="majorHAnsi"/>
          <w:lang w:bidi="pt-PT"/>
        </w:rPr>
        <w:t>Uma abordagem de desenho universal para o ensino e a aprendizagem deve funcionar como um recurso e sustentar o trabalho de profissionais com cargos de liderança, tanto do setor regular como do setor especializado.</w:t>
      </w:r>
    </w:p>
    <w:p w14:paraId="36C86112" w14:textId="3BAD9FBA" w:rsidR="00945A05" w:rsidRPr="00893AA5" w:rsidRDefault="00776FBF" w:rsidP="00907466">
      <w:pPr>
        <w:pStyle w:val="Agency-heading-3"/>
        <w:rPr>
          <w:rFonts w:asciiTheme="majorHAnsi" w:hAnsiTheme="majorHAnsi" w:cstheme="majorHAnsi"/>
        </w:rPr>
      </w:pPr>
      <w:r w:rsidRPr="00893AA5">
        <w:rPr>
          <w:rFonts w:asciiTheme="majorHAnsi" w:hAnsiTheme="majorHAnsi" w:cstheme="majorHAnsi"/>
          <w:lang w:bidi="pt-PT"/>
        </w:rPr>
        <w:lastRenderedPageBreak/>
        <w:t>Princípio orientador 5: Incentivar o envolvimento ativo das partes interessadas</w:t>
      </w:r>
    </w:p>
    <w:p w14:paraId="5FC091E5" w14:textId="02514380" w:rsidR="00776FBF" w:rsidRPr="00893AA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93AA5">
        <w:rPr>
          <w:rFonts w:asciiTheme="majorHAnsi" w:hAnsiTheme="majorHAnsi" w:cstheme="majorHAnsi"/>
          <w:lang w:bidi="pt-PT"/>
        </w:rPr>
        <w:t>As famílias, os alunos e outras partes interessadas da comunidade devem ser apoiados para participar ativamente no processo de aprendizagem e ensino.</w:t>
      </w:r>
    </w:p>
    <w:p w14:paraId="54BE8D84" w14:textId="105BDD17" w:rsidR="00945A05" w:rsidRPr="00893AA5" w:rsidRDefault="00776FBF" w:rsidP="00907466">
      <w:pPr>
        <w:pStyle w:val="Agency-heading-3"/>
        <w:rPr>
          <w:rFonts w:asciiTheme="majorHAnsi" w:hAnsiTheme="majorHAnsi" w:cstheme="majorHAnsi"/>
        </w:rPr>
      </w:pPr>
      <w:r w:rsidRPr="00893AA5">
        <w:rPr>
          <w:rFonts w:asciiTheme="majorHAnsi" w:hAnsiTheme="majorHAnsi" w:cstheme="majorHAnsi"/>
          <w:lang w:bidi="pt-PT"/>
        </w:rPr>
        <w:t>Princípio orientador 6: Promover a monitorização e a avaliação contínuas</w:t>
      </w:r>
    </w:p>
    <w:p w14:paraId="04D710D0" w14:textId="7248643F" w:rsidR="00776FBF" w:rsidRPr="00893AA5"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893AA5">
        <w:rPr>
          <w:rFonts w:asciiTheme="majorHAnsi" w:hAnsiTheme="majorHAnsi" w:cstheme="majorHAnsi"/>
          <w:lang w:bidi="pt-PT"/>
        </w:rPr>
        <w:t>Todos os funcionários dos serviços especializados e regulares devem trabalhar no sentido de uma abordagem global da escola, com foco nas barreiras e nos facilitadores do ensino e da aprendizagem.</w:t>
      </w:r>
    </w:p>
    <w:p w14:paraId="49ACB748" w14:textId="71D8359F" w:rsidR="00776FBF" w:rsidRPr="00893AA5" w:rsidRDefault="00776FBF" w:rsidP="00907466">
      <w:pPr>
        <w:pStyle w:val="Agency-heading-2"/>
        <w:rPr>
          <w:rFonts w:asciiTheme="majorHAnsi" w:hAnsiTheme="majorHAnsi" w:cstheme="majorHAnsi"/>
        </w:rPr>
      </w:pPr>
      <w:bookmarkStart w:id="17" w:name="_Toc128142438"/>
      <w:r w:rsidRPr="00893AA5">
        <w:rPr>
          <w:rFonts w:asciiTheme="majorHAnsi" w:hAnsiTheme="majorHAnsi" w:cstheme="majorHAnsi"/>
          <w:lang w:bidi="pt-PT"/>
        </w:rPr>
        <w:t>Prioridades e estratégias políticas</w:t>
      </w:r>
      <w:bookmarkEnd w:id="17"/>
    </w:p>
    <w:p w14:paraId="02001615" w14:textId="28D0571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Cada princípio orientador está ligado a prioridades e estratégias políticas que os países identificaram como práticas eficazes durante os </w:t>
      </w:r>
      <w:r w:rsidRPr="00893AA5">
        <w:rPr>
          <w:rFonts w:asciiTheme="majorHAnsi" w:hAnsiTheme="majorHAnsi" w:cstheme="majorHAnsi"/>
          <w:i/>
          <w:lang w:bidi="pt-PT"/>
        </w:rPr>
        <w:t xml:space="preserve">workshops </w:t>
      </w:r>
      <w:r w:rsidRPr="00893AA5">
        <w:rPr>
          <w:rFonts w:asciiTheme="majorHAnsi" w:hAnsiTheme="majorHAnsi" w:cstheme="majorHAnsi"/>
          <w:lang w:bidi="pt-PT"/>
        </w:rPr>
        <w:t>e em documentos escritos.</w:t>
      </w:r>
    </w:p>
    <w:p w14:paraId="585BDDB2" w14:textId="10DEECDA"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As prioridades e estratégias políticas referem-se aos objetivos de longo prazo das políticas a serem desenvolvidas em relação à mudança do papel dos serviços especializados e à ligação com os meios para alcançar esses objetivos.</w:t>
      </w:r>
    </w:p>
    <w:p w14:paraId="5754ED1A" w14:textId="7777777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Cada princípio orientador engloba algumas das principais prioridades e estratégias políticas que apoiam a mudança do papel dos serviços especializados, </w:t>
      </w:r>
      <w:proofErr w:type="gramStart"/>
      <w:r w:rsidRPr="00893AA5">
        <w:rPr>
          <w:rFonts w:asciiTheme="majorHAnsi" w:hAnsiTheme="majorHAnsi" w:cstheme="majorHAnsi"/>
          <w:lang w:bidi="pt-PT"/>
        </w:rPr>
        <w:t>ao mesmo tempo que</w:t>
      </w:r>
      <w:proofErr w:type="gramEnd"/>
      <w:r w:rsidRPr="00893AA5">
        <w:rPr>
          <w:rFonts w:asciiTheme="majorHAnsi" w:hAnsiTheme="majorHAnsi" w:cstheme="majorHAnsi"/>
          <w:lang w:bidi="pt-PT"/>
        </w:rPr>
        <w:t xml:space="preserve"> se complementam. Os países consideram estas prioridades e estratégias políticas fundamentais para cumprir os valores expressos nos princípios orientadores.</w:t>
      </w:r>
    </w:p>
    <w:p w14:paraId="7018DD74" w14:textId="7777777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 estrutura da ferramenta compreende 17 prioridades e estratégias políticas.</w:t>
      </w:r>
    </w:p>
    <w:p w14:paraId="04F49146" w14:textId="5F7EC737" w:rsidR="00776FBF" w:rsidRPr="00893AA5" w:rsidRDefault="00776FBF" w:rsidP="00907466">
      <w:pPr>
        <w:pStyle w:val="Agency-heading-2"/>
        <w:rPr>
          <w:rFonts w:asciiTheme="majorHAnsi" w:hAnsiTheme="majorHAnsi" w:cstheme="majorHAnsi"/>
        </w:rPr>
      </w:pPr>
      <w:bookmarkStart w:id="18" w:name="_Toc128142439"/>
      <w:r w:rsidRPr="00893AA5">
        <w:rPr>
          <w:rFonts w:asciiTheme="majorHAnsi" w:hAnsiTheme="majorHAnsi" w:cstheme="majorHAnsi"/>
          <w:lang w:bidi="pt-PT"/>
        </w:rPr>
        <w:t>Ações-chave</w:t>
      </w:r>
      <w:bookmarkEnd w:id="18"/>
    </w:p>
    <w:p w14:paraId="3575CDB9" w14:textId="1FF291F9"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Cada prioridade e estratégia política pode ser dividida em ações-chave, como exemplos de implementação eficaz das políticas e estratégias associadas. Estas abrangem questões de financiamento, governação, desenvolvimento de capacidades e garantia de qualidade que permitem às partes interessadas implementar as políticas e estratégias a que se referem.</w:t>
      </w:r>
    </w:p>
    <w:p w14:paraId="5CAA97A9" w14:textId="77777777" w:rsidR="009C62BC"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Cada prioridade e estratégia política consiste em algumas ações-chave que se complementam considerando:</w:t>
      </w:r>
    </w:p>
    <w:p w14:paraId="6F69319E" w14:textId="37D6D37A" w:rsidR="009C62BC" w:rsidRPr="00893AA5" w:rsidRDefault="003C0797" w:rsidP="00591FE3">
      <w:pPr>
        <w:pStyle w:val="Agency-body-text"/>
        <w:numPr>
          <w:ilvl w:val="0"/>
          <w:numId w:val="49"/>
        </w:numPr>
        <w:rPr>
          <w:rFonts w:asciiTheme="majorHAnsi" w:hAnsiTheme="majorHAnsi" w:cstheme="majorHAnsi"/>
        </w:rPr>
      </w:pPr>
      <w:r w:rsidRPr="00893AA5">
        <w:rPr>
          <w:rFonts w:asciiTheme="majorHAnsi" w:hAnsiTheme="majorHAnsi" w:cstheme="majorHAnsi"/>
          <w:lang w:bidi="pt-PT"/>
        </w:rPr>
        <w:t>O que deve ser feito</w:t>
      </w:r>
    </w:p>
    <w:p w14:paraId="359F0490" w14:textId="33A8D7BD" w:rsidR="003C0797" w:rsidRPr="00893AA5" w:rsidRDefault="003C0797" w:rsidP="00591FE3">
      <w:pPr>
        <w:pStyle w:val="Agency-body-text"/>
        <w:numPr>
          <w:ilvl w:val="0"/>
          <w:numId w:val="49"/>
        </w:numPr>
        <w:rPr>
          <w:rFonts w:asciiTheme="majorHAnsi" w:hAnsiTheme="majorHAnsi" w:cstheme="majorHAnsi"/>
        </w:rPr>
      </w:pPr>
      <w:r w:rsidRPr="00893AA5">
        <w:rPr>
          <w:rFonts w:asciiTheme="majorHAnsi" w:hAnsiTheme="majorHAnsi" w:cstheme="majorHAnsi"/>
          <w:lang w:bidi="pt-PT"/>
        </w:rPr>
        <w:t>Como deve ser feito</w:t>
      </w:r>
    </w:p>
    <w:p w14:paraId="0361FAE4" w14:textId="70239B1F" w:rsidR="00776FBF" w:rsidRPr="00893AA5" w:rsidRDefault="003C0797" w:rsidP="00591FE3">
      <w:pPr>
        <w:pStyle w:val="Agency-body-text"/>
        <w:numPr>
          <w:ilvl w:val="0"/>
          <w:numId w:val="49"/>
        </w:numPr>
        <w:rPr>
          <w:rFonts w:asciiTheme="majorHAnsi" w:hAnsiTheme="majorHAnsi" w:cstheme="majorHAnsi"/>
        </w:rPr>
      </w:pPr>
      <w:r w:rsidRPr="00893AA5">
        <w:rPr>
          <w:rFonts w:asciiTheme="majorHAnsi" w:hAnsiTheme="majorHAnsi" w:cstheme="majorHAnsi"/>
          <w:lang w:bidi="pt-PT"/>
        </w:rPr>
        <w:t>Como verificar a efetividade.</w:t>
      </w:r>
    </w:p>
    <w:p w14:paraId="60E2B7A5" w14:textId="2102D5BF" w:rsidR="00776FBF"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A estrutura atual da ferramenta compreende:</w:t>
      </w:r>
    </w:p>
    <w:p w14:paraId="74AC2555" w14:textId="77777777" w:rsidR="00776FBF" w:rsidRPr="00893AA5" w:rsidRDefault="00776FBF" w:rsidP="00591FE3">
      <w:pPr>
        <w:pStyle w:val="Agency-body-text"/>
        <w:numPr>
          <w:ilvl w:val="0"/>
          <w:numId w:val="37"/>
        </w:numPr>
        <w:rPr>
          <w:rFonts w:asciiTheme="majorHAnsi" w:hAnsiTheme="majorHAnsi" w:cstheme="majorHAnsi"/>
        </w:rPr>
      </w:pPr>
      <w:r w:rsidRPr="00893AA5">
        <w:rPr>
          <w:rFonts w:asciiTheme="majorHAnsi" w:hAnsiTheme="majorHAnsi" w:cstheme="majorHAnsi"/>
          <w:lang w:bidi="pt-PT"/>
        </w:rPr>
        <w:t>6 princípios orientadores</w:t>
      </w:r>
    </w:p>
    <w:p w14:paraId="0B211968" w14:textId="77777777" w:rsidR="00776FBF" w:rsidRPr="00893AA5" w:rsidRDefault="00776FBF" w:rsidP="00591FE3">
      <w:pPr>
        <w:pStyle w:val="Agency-body-text"/>
        <w:numPr>
          <w:ilvl w:val="0"/>
          <w:numId w:val="37"/>
        </w:numPr>
        <w:rPr>
          <w:rFonts w:asciiTheme="majorHAnsi" w:hAnsiTheme="majorHAnsi" w:cstheme="majorHAnsi"/>
        </w:rPr>
      </w:pPr>
      <w:r w:rsidRPr="00893AA5">
        <w:rPr>
          <w:rFonts w:asciiTheme="majorHAnsi" w:hAnsiTheme="majorHAnsi" w:cstheme="majorHAnsi"/>
          <w:lang w:bidi="pt-PT"/>
        </w:rPr>
        <w:t>17 prioridades e estratégias políticas</w:t>
      </w:r>
    </w:p>
    <w:p w14:paraId="0FD85113" w14:textId="77777777" w:rsidR="00776FBF" w:rsidRPr="00893AA5" w:rsidRDefault="00776FBF" w:rsidP="00591FE3">
      <w:pPr>
        <w:pStyle w:val="Agency-body-text"/>
        <w:numPr>
          <w:ilvl w:val="0"/>
          <w:numId w:val="37"/>
        </w:numPr>
        <w:rPr>
          <w:rFonts w:asciiTheme="majorHAnsi" w:hAnsiTheme="majorHAnsi" w:cstheme="majorHAnsi"/>
        </w:rPr>
      </w:pPr>
      <w:r w:rsidRPr="00893AA5">
        <w:rPr>
          <w:rFonts w:asciiTheme="majorHAnsi" w:hAnsiTheme="majorHAnsi" w:cstheme="majorHAnsi"/>
          <w:lang w:bidi="pt-PT"/>
        </w:rPr>
        <w:t>51 ações-chave.</w:t>
      </w:r>
    </w:p>
    <w:p w14:paraId="680B3914" w14:textId="15863602" w:rsidR="000D1BFB"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Como mostra a Figura 1, cada princípio orientador está vinculado a várias prioridades e estratégias políticas, bem como a várias ações-chave a serem consideradas de forma holística.</w:t>
      </w:r>
    </w:p>
    <w:p w14:paraId="1199A735" w14:textId="1584F0B1" w:rsidR="000D1BFB" w:rsidRPr="00893AA5" w:rsidRDefault="00FC1006" w:rsidP="00505BA1">
      <w:pPr>
        <w:pStyle w:val="Agency-body-text"/>
        <w:keepNext/>
        <w:jc w:val="center"/>
        <w:rPr>
          <w:rFonts w:asciiTheme="majorHAnsi" w:hAnsiTheme="majorHAnsi" w:cstheme="majorHAnsi"/>
        </w:rPr>
      </w:pPr>
      <w:r w:rsidRPr="00505BA1">
        <w:rPr>
          <w:rFonts w:asciiTheme="majorHAnsi" w:hAnsiTheme="majorHAnsi" w:cstheme="majorHAnsi"/>
          <w:noProof/>
          <w:lang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2 (como)</w:t>
                            </w:r>
                          </w:p>
                          <w:p w14:paraId="2D74BB36" w14:textId="77777777"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2 (como)</w:t>
                      </w:r>
                    </w:p>
                    <w:p w14:paraId="2D74BB36" w14:textId="77777777"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v:textbox>
              </v:rect>
            </w:pict>
          </mc:Fallback>
        </mc:AlternateContent>
      </w:r>
      <w:r w:rsidRPr="00505BA1">
        <w:rPr>
          <w:rFonts w:asciiTheme="majorHAnsi" w:hAnsiTheme="majorHAnsi" w:cstheme="majorHAnsi"/>
          <w:noProof/>
          <w:lang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2 (como)</w:t>
                            </w:r>
                          </w:p>
                          <w:p w14:paraId="6EB5840E" w14:textId="77777777"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2 (como)</w:t>
                      </w:r>
                    </w:p>
                    <w:p w14:paraId="6EB5840E" w14:textId="77777777" w:rsidR="00FC1006" w:rsidRPr="003B2947"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v:textbox>
              </v:rect>
            </w:pict>
          </mc:Fallback>
        </mc:AlternateContent>
      </w:r>
      <w:r w:rsidR="00EC1BAA" w:rsidRPr="00505BA1">
        <w:rPr>
          <w:rFonts w:asciiTheme="majorHAnsi" w:hAnsiTheme="majorHAnsi" w:cstheme="majorHAnsi"/>
          <w:noProof/>
          <w:lang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1 (como)</w:t>
                            </w:r>
                          </w:p>
                          <w:p w14:paraId="334FDF24"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1 (como)</w:t>
                      </w:r>
                    </w:p>
                    <w:p w14:paraId="334FDF24"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v:textbox>
              </v:rect>
            </w:pict>
          </mc:Fallback>
        </mc:AlternateContent>
      </w:r>
      <w:r w:rsidR="00EC1BAA" w:rsidRPr="00505BA1">
        <w:rPr>
          <w:rFonts w:asciiTheme="majorHAnsi" w:hAnsiTheme="majorHAnsi" w:cstheme="majorHAnsi"/>
          <w:noProof/>
          <w:lang w:eastAsia="el-GR"/>
        </w:rPr>
        <mc:AlternateContent>
          <mc:Choice Requires="wps">
            <w:drawing>
              <wp:anchor distT="0" distB="0" distL="114300" distR="114300" simplePos="0" relativeHeight="251670528" behindDoc="0" locked="0" layoutInCell="1" allowOverlap="1" wp14:anchorId="39D7C0DB" wp14:editId="1D5B396F">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1 (como)</w:t>
                            </w:r>
                          </w:p>
                          <w:p w14:paraId="72790EA9"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Ação-chave 1 (como)</w:t>
                      </w:r>
                    </w:p>
                    <w:p w14:paraId="72790EA9" w14:textId="77777777" w:rsidR="00EC1BAA" w:rsidRPr="003B2947"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(ação tomada e avaliada)</w:t>
                      </w:r>
                    </w:p>
                  </w:txbxContent>
                </v:textbox>
              </v:rect>
            </w:pict>
          </mc:Fallback>
        </mc:AlternateContent>
      </w:r>
      <w:r w:rsidR="00942D91" w:rsidRPr="00505BA1">
        <w:rPr>
          <w:rFonts w:asciiTheme="majorHAnsi" w:hAnsiTheme="majorHAnsi" w:cstheme="majorHAnsi"/>
          <w:noProof/>
          <w:lang w:eastAsia="el-GR"/>
        </w:rPr>
        <mc:AlternateContent>
          <mc:Choice Requires="wps">
            <w:drawing>
              <wp:anchor distT="0" distB="0" distL="114300" distR="114300" simplePos="0" relativeHeight="251668480" behindDoc="0" locked="0" layoutInCell="1" allowOverlap="1" wp14:anchorId="262D0B3E" wp14:editId="23EC76B3">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3B2947"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Prioridade e estratégia política 2 (o quê)</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3B2947"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Prioridade e estratégia política 2 (o quê)</w:t>
                      </w:r>
                    </w:p>
                  </w:txbxContent>
                </v:textbox>
              </v:rect>
            </w:pict>
          </mc:Fallback>
        </mc:AlternateContent>
      </w:r>
      <w:r w:rsidR="00C053AD" w:rsidRPr="00505BA1">
        <w:rPr>
          <w:rFonts w:asciiTheme="majorHAnsi" w:hAnsiTheme="majorHAnsi" w:cstheme="majorHAnsi"/>
          <w:noProof/>
          <w:lang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3B2947"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Prioridade e estratégia política 1 (o quê)</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3B2947"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Prioridade e estratégia política 1 (o quê)</w:t>
                      </w:r>
                    </w:p>
                  </w:txbxContent>
                </v:textbox>
              </v:rect>
            </w:pict>
          </mc:Fallback>
        </mc:AlternateContent>
      </w:r>
      <w:r w:rsidR="001E2C09" w:rsidRPr="00505BA1">
        <w:rPr>
          <w:rFonts w:asciiTheme="majorHAnsi" w:hAnsiTheme="majorHAnsi" w:cstheme="majorHAnsi"/>
          <w:noProof/>
          <w:lang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3B2947"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Princípio orientador 1</w:t>
                            </w:r>
                          </w:p>
                          <w:p w14:paraId="7A4883E8" w14:textId="77777777" w:rsidR="001E2C09" w:rsidRPr="003B2947"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(porquê)</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3B2947"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Princípio orientador 1</w:t>
                      </w:r>
                    </w:p>
                    <w:p w14:paraId="7A4883E8" w14:textId="77777777" w:rsidR="001E2C09" w:rsidRPr="003B2947"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B2947">
                        <w:rPr>
                          <w:rFonts w:asciiTheme="majorHAnsi" w:hAnsiTheme="majorHAnsi" w:cstheme="majorHAnsi"/>
                          <w:b/>
                          <w:color w:val="002060"/>
                          <w:kern w:val="24"/>
                          <w:sz w:val="22"/>
                          <w:lang w:bidi="pt-PT"/>
                        </w:rPr>
                        <w:t>(porquê)</w:t>
                      </w:r>
                    </w:p>
                  </w:txbxContent>
                </v:textbox>
              </v:rect>
            </w:pict>
          </mc:Fallback>
        </mc:AlternateContent>
      </w:r>
      <w:r w:rsidR="000D1BFB" w:rsidRPr="00505BA1">
        <w:rPr>
          <w:rFonts w:asciiTheme="majorHAnsi" w:hAnsiTheme="majorHAnsi" w:cstheme="majorHAnsi"/>
          <w:noProof/>
          <w:lang w:eastAsia="el-GR"/>
        </w:rPr>
        <w:drawing>
          <wp:inline distT="0" distB="0" distL="0" distR="0" wp14:anchorId="6098A072" wp14:editId="0DB3C053">
            <wp:extent cx="5611495" cy="3408999"/>
            <wp:effectExtent l="0" t="0" r="0" b="0"/>
            <wp:docPr id="40" name="Picture 40" descr="Fluxograma demostrando como cada princípio orientador (nível 1) conduz a prioridades e estratégias políticas (nível 2) que, por sua vez, conduzem a ações-chave (nível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uxograma demostrando como cada princípio orientador (nível 1) conduz a prioridades e estratégias políticas (nível 2) que, por sua vez, conduzem a ações-chave (nível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893AA5" w:rsidRDefault="008B29C7" w:rsidP="00591FE3">
      <w:pPr>
        <w:pStyle w:val="Agency-caption"/>
        <w:rPr>
          <w:rFonts w:asciiTheme="majorHAnsi" w:hAnsiTheme="majorHAnsi" w:cstheme="majorHAnsi"/>
        </w:rPr>
      </w:pPr>
      <w:r w:rsidRPr="00893AA5">
        <w:rPr>
          <w:rFonts w:asciiTheme="majorHAnsi" w:hAnsiTheme="majorHAnsi" w:cstheme="majorHAnsi"/>
          <w:lang w:bidi="pt-PT"/>
        </w:rPr>
        <w:t xml:space="preserve">Figura </w:t>
      </w:r>
      <w:r w:rsidR="00986F3F" w:rsidRPr="00893AA5">
        <w:rPr>
          <w:rFonts w:asciiTheme="majorHAnsi" w:hAnsiTheme="majorHAnsi" w:cstheme="majorHAnsi"/>
          <w:lang w:bidi="pt-PT"/>
        </w:rPr>
        <w:fldChar w:fldCharType="begin"/>
      </w:r>
      <w:r w:rsidR="00986F3F" w:rsidRPr="00893AA5">
        <w:rPr>
          <w:rFonts w:asciiTheme="majorHAnsi" w:hAnsiTheme="majorHAnsi" w:cstheme="majorHAnsi"/>
          <w:lang w:bidi="pt-PT"/>
        </w:rPr>
        <w:instrText xml:space="preserve"> SEQ Figure \* ARABIC </w:instrText>
      </w:r>
      <w:r w:rsidR="00986F3F" w:rsidRPr="00893AA5">
        <w:rPr>
          <w:rFonts w:asciiTheme="majorHAnsi" w:hAnsiTheme="majorHAnsi" w:cstheme="majorHAnsi"/>
          <w:lang w:bidi="pt-PT"/>
        </w:rPr>
        <w:fldChar w:fldCharType="separate"/>
      </w:r>
      <w:r w:rsidRPr="00893AA5">
        <w:rPr>
          <w:rFonts w:asciiTheme="majorHAnsi" w:hAnsiTheme="majorHAnsi" w:cstheme="majorHAnsi"/>
          <w:lang w:bidi="pt-PT"/>
        </w:rPr>
        <w:t>1</w:t>
      </w:r>
      <w:r w:rsidR="00986F3F" w:rsidRPr="00893AA5">
        <w:rPr>
          <w:rFonts w:asciiTheme="majorHAnsi" w:hAnsiTheme="majorHAnsi" w:cstheme="majorHAnsi"/>
          <w:lang w:bidi="pt-PT"/>
        </w:rPr>
        <w:fldChar w:fldCharType="end"/>
      </w:r>
      <w:r w:rsidRPr="00893AA5">
        <w:rPr>
          <w:rFonts w:asciiTheme="majorHAnsi" w:hAnsiTheme="majorHAnsi" w:cstheme="majorHAnsi"/>
          <w:lang w:bidi="pt-PT"/>
        </w:rPr>
        <w:t xml:space="preserve">. </w:t>
      </w:r>
      <w:bookmarkStart w:id="19" w:name="_Ref96944085"/>
      <w:r w:rsidRPr="00893AA5">
        <w:rPr>
          <w:rFonts w:asciiTheme="majorHAnsi" w:hAnsiTheme="majorHAnsi" w:cstheme="majorHAnsi"/>
          <w:lang w:bidi="pt-PT"/>
        </w:rPr>
        <w:t>Interligações entre princípios orientadores, prioridades/estratégias políticas e ações-chave</w:t>
      </w:r>
      <w:bookmarkEnd w:id="19"/>
    </w:p>
    <w:p w14:paraId="28949F83" w14:textId="1C86D838"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br w:type="page"/>
      </w:r>
    </w:p>
    <w:p w14:paraId="68B81A76" w14:textId="75A9CC86" w:rsidR="00776FBF" w:rsidRPr="00893AA5" w:rsidRDefault="00D34F24" w:rsidP="00907466">
      <w:pPr>
        <w:pStyle w:val="Agency-heading-1"/>
        <w:rPr>
          <w:rFonts w:asciiTheme="majorHAnsi" w:hAnsiTheme="majorHAnsi" w:cstheme="majorHAnsi"/>
        </w:rPr>
      </w:pPr>
      <w:bookmarkStart w:id="20" w:name="annex3"/>
      <w:bookmarkStart w:id="21" w:name="_Toc128142440"/>
      <w:r w:rsidRPr="00893AA5">
        <w:rPr>
          <w:rFonts w:asciiTheme="majorHAnsi" w:hAnsiTheme="majorHAnsi" w:cstheme="majorHAnsi"/>
          <w:lang w:bidi="pt-PT"/>
        </w:rPr>
        <w:lastRenderedPageBreak/>
        <w:t>Anexo 3</w:t>
      </w:r>
      <w:bookmarkEnd w:id="20"/>
      <w:r w:rsidRPr="00893AA5">
        <w:rPr>
          <w:rFonts w:asciiTheme="majorHAnsi" w:hAnsiTheme="majorHAnsi" w:cstheme="majorHAnsi"/>
          <w:lang w:bidi="pt-PT"/>
        </w:rPr>
        <w:t>: Validação da ferramenta de autorrevisão a nível nacional</w:t>
      </w:r>
      <w:bookmarkEnd w:id="21"/>
    </w:p>
    <w:p w14:paraId="084D0CC7" w14:textId="77777777"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A ferramenta de autorrevisão é um documento de fonte aberta. Os utilizadores podem traduzi-lo e adaptá-lo ao seu contexto nacional.</w:t>
      </w:r>
    </w:p>
    <w:p w14:paraId="3502B3D6" w14:textId="212762C7" w:rsidR="009C62BC"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O </w:t>
      </w:r>
      <w:r w:rsidRPr="00893AA5">
        <w:rPr>
          <w:rFonts w:asciiTheme="majorHAnsi" w:hAnsiTheme="majorHAnsi" w:cstheme="majorHAnsi"/>
          <w:b/>
          <w:lang w:bidi="pt-PT"/>
        </w:rPr>
        <w:t>primeiro passo</w:t>
      </w:r>
      <w:r w:rsidRPr="00893AA5">
        <w:rPr>
          <w:rFonts w:asciiTheme="majorHAnsi" w:hAnsiTheme="majorHAnsi" w:cstheme="majorHAnsi"/>
          <w:lang w:bidi="pt-PT"/>
        </w:rPr>
        <w:t xml:space="preserve"> na adaptação da ferramenta é passar por um processo de validação. Tal envolve a identificação de atores-chave relevantes de diferentes grupos de partes interessadas que representam perspetivas diversas.</w:t>
      </w:r>
    </w:p>
    <w:p w14:paraId="4020027F" w14:textId="3007C44E" w:rsidR="00776FBF" w:rsidRPr="00893AA5" w:rsidRDefault="00776FBF" w:rsidP="00AB47C3">
      <w:pPr>
        <w:pStyle w:val="Agency-body-text"/>
        <w:keepNext/>
        <w:rPr>
          <w:rFonts w:asciiTheme="majorHAnsi" w:hAnsiTheme="majorHAnsi" w:cstheme="majorHAnsi"/>
        </w:rPr>
      </w:pPr>
      <w:r w:rsidRPr="00893AA5">
        <w:rPr>
          <w:rFonts w:asciiTheme="majorHAnsi" w:hAnsiTheme="majorHAnsi" w:cstheme="majorHAnsi"/>
          <w:lang w:bidi="pt-PT"/>
        </w:rPr>
        <w:t>Os atores-chave selecionados podem consistir em:</w:t>
      </w:r>
    </w:p>
    <w:p w14:paraId="270C9742" w14:textId="20DB3F8E" w:rsidR="00776FBF" w:rsidRPr="00893AA5" w:rsidRDefault="00B35353" w:rsidP="00591FE3">
      <w:pPr>
        <w:pStyle w:val="Agency-body-text"/>
        <w:numPr>
          <w:ilvl w:val="0"/>
          <w:numId w:val="42"/>
        </w:numPr>
        <w:rPr>
          <w:rFonts w:asciiTheme="majorHAnsi" w:hAnsiTheme="majorHAnsi" w:cstheme="majorHAnsi"/>
        </w:rPr>
      </w:pPr>
      <w:r w:rsidRPr="00893AA5">
        <w:rPr>
          <w:rFonts w:asciiTheme="majorHAnsi" w:hAnsiTheme="majorHAnsi" w:cstheme="majorHAnsi"/>
          <w:lang w:bidi="pt-PT"/>
        </w:rPr>
        <w:t>decisores a nível nacional, regional e local, do setor da educação ou setores relacionados (ou seja, saúde e bem-estar);</w:t>
      </w:r>
    </w:p>
    <w:p w14:paraId="29137FA4" w14:textId="1621FB70" w:rsidR="00776FBF" w:rsidRPr="00893AA5" w:rsidRDefault="00B35353" w:rsidP="00591FE3">
      <w:pPr>
        <w:pStyle w:val="Agency-body-text"/>
        <w:numPr>
          <w:ilvl w:val="0"/>
          <w:numId w:val="42"/>
        </w:numPr>
        <w:rPr>
          <w:rFonts w:asciiTheme="majorHAnsi" w:hAnsiTheme="majorHAnsi" w:cstheme="majorHAnsi"/>
        </w:rPr>
      </w:pPr>
      <w:r w:rsidRPr="00893AA5">
        <w:rPr>
          <w:rFonts w:asciiTheme="majorHAnsi" w:hAnsiTheme="majorHAnsi" w:cstheme="majorHAnsi"/>
          <w:lang w:bidi="pt-PT"/>
        </w:rPr>
        <w:t>diretores das escolas e equipas de liderança, bem como profissionais dos setores regular e especializado (incluindo a equipa de apoio e a equipa especializada);</w:t>
      </w:r>
    </w:p>
    <w:p w14:paraId="6C14870C" w14:textId="111FDC94" w:rsidR="00776FBF" w:rsidRPr="00893AA5" w:rsidRDefault="00B35353" w:rsidP="00591FE3">
      <w:pPr>
        <w:pStyle w:val="Agency-body-text"/>
        <w:numPr>
          <w:ilvl w:val="0"/>
          <w:numId w:val="42"/>
        </w:numPr>
        <w:rPr>
          <w:rFonts w:asciiTheme="majorHAnsi" w:hAnsiTheme="majorHAnsi" w:cstheme="majorHAnsi"/>
        </w:rPr>
      </w:pPr>
      <w:r w:rsidRPr="00893AA5">
        <w:rPr>
          <w:rFonts w:asciiTheme="majorHAnsi" w:hAnsiTheme="majorHAnsi" w:cstheme="majorHAnsi"/>
          <w:lang w:bidi="pt-PT"/>
        </w:rPr>
        <w:t>representantes de organizações familiares, juvenis e comunitárias, administradores e funcionários eleitos, como membros do conselho escolar, conselheiros municipais e representantes regionais.</w:t>
      </w:r>
    </w:p>
    <w:p w14:paraId="6A8DDAB5" w14:textId="77777777"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A lista acima é </w:t>
      </w:r>
      <w:r w:rsidRPr="00893AA5">
        <w:rPr>
          <w:rFonts w:asciiTheme="majorHAnsi" w:hAnsiTheme="majorHAnsi" w:cstheme="majorHAnsi"/>
          <w:b/>
          <w:lang w:bidi="pt-PT"/>
        </w:rPr>
        <w:t>indicativa</w:t>
      </w:r>
      <w:r w:rsidRPr="00893AA5">
        <w:rPr>
          <w:rFonts w:asciiTheme="majorHAnsi" w:hAnsiTheme="majorHAnsi" w:cstheme="majorHAnsi"/>
          <w:lang w:bidi="pt-PT"/>
        </w:rPr>
        <w:t>, uma vez que os grupos de partes interessadas podem diferir entre os países.</w:t>
      </w:r>
    </w:p>
    <w:p w14:paraId="5F0C3BA0" w14:textId="1FE837D6" w:rsidR="00776FBF" w:rsidRPr="00893AA5" w:rsidRDefault="00776FBF" w:rsidP="00591FE3">
      <w:pPr>
        <w:pStyle w:val="Agency-body-text"/>
        <w:rPr>
          <w:rFonts w:asciiTheme="majorHAnsi" w:hAnsiTheme="majorHAnsi" w:cstheme="majorHAnsi"/>
        </w:rPr>
      </w:pPr>
      <w:r w:rsidRPr="00893AA5">
        <w:rPr>
          <w:rFonts w:asciiTheme="majorHAnsi" w:hAnsiTheme="majorHAnsi" w:cstheme="majorHAnsi"/>
          <w:lang w:bidi="pt-PT"/>
        </w:rPr>
        <w:t xml:space="preserve">O </w:t>
      </w:r>
      <w:r w:rsidRPr="00893AA5">
        <w:rPr>
          <w:rFonts w:asciiTheme="majorHAnsi" w:hAnsiTheme="majorHAnsi" w:cstheme="majorHAnsi"/>
          <w:b/>
          <w:lang w:bidi="pt-PT"/>
        </w:rPr>
        <w:t>segundo passo</w:t>
      </w:r>
      <w:r w:rsidRPr="00893AA5">
        <w:rPr>
          <w:rFonts w:asciiTheme="majorHAnsi" w:hAnsiTheme="majorHAnsi" w:cstheme="majorHAnsi"/>
          <w:lang w:bidi="pt-PT"/>
        </w:rPr>
        <w:t xml:space="preserve"> consiste em convidar as partes interessadas selecionadas para validar a ferramenta. Tal pode ser por meio de </w:t>
      </w:r>
      <w:r w:rsidRPr="00893AA5">
        <w:rPr>
          <w:rFonts w:asciiTheme="majorHAnsi" w:hAnsiTheme="majorHAnsi" w:cstheme="majorHAnsi"/>
          <w:i/>
          <w:lang w:bidi="pt-PT"/>
        </w:rPr>
        <w:t>workshops</w:t>
      </w:r>
      <w:r w:rsidRPr="00893AA5">
        <w:rPr>
          <w:rFonts w:asciiTheme="majorHAnsi" w:hAnsiTheme="majorHAnsi" w:cstheme="majorHAnsi"/>
          <w:lang w:bidi="pt-PT"/>
        </w:rPr>
        <w:t>, grupos focais e/ou entrevistas individuais/em grupo para explorar a sua adequação e utilidade cultural.</w:t>
      </w:r>
    </w:p>
    <w:p w14:paraId="73585C36" w14:textId="2A5EE9A9" w:rsidR="00776FBF" w:rsidRPr="00893AA5" w:rsidRDefault="00776FBF" w:rsidP="00907466">
      <w:pPr>
        <w:pStyle w:val="Agency-body-text"/>
        <w:keepNext/>
        <w:rPr>
          <w:rFonts w:asciiTheme="majorHAnsi" w:hAnsiTheme="majorHAnsi" w:cstheme="majorHAnsi"/>
        </w:rPr>
      </w:pPr>
      <w:r w:rsidRPr="00893AA5">
        <w:rPr>
          <w:rFonts w:asciiTheme="majorHAnsi" w:hAnsiTheme="majorHAnsi" w:cstheme="majorHAnsi"/>
          <w:lang w:bidi="pt-PT"/>
        </w:rPr>
        <w:t>Durante o processo de validação, os participantes podem ser solicitados a responder às seguintes perguntas:</w:t>
      </w:r>
    </w:p>
    <w:p w14:paraId="1FD683D2" w14:textId="1636B158" w:rsidR="00776FBF" w:rsidRPr="00893AA5" w:rsidRDefault="005F0EC6" w:rsidP="00591FE3">
      <w:pPr>
        <w:pStyle w:val="Agency-body-text"/>
        <w:numPr>
          <w:ilvl w:val="0"/>
          <w:numId w:val="44"/>
        </w:numPr>
        <w:rPr>
          <w:rFonts w:asciiTheme="majorHAnsi" w:hAnsiTheme="majorHAnsi" w:cstheme="majorHAnsi"/>
        </w:rPr>
      </w:pPr>
      <w:r w:rsidRPr="00893AA5">
        <w:rPr>
          <w:rFonts w:asciiTheme="majorHAnsi" w:hAnsiTheme="majorHAnsi" w:cstheme="majorHAnsi"/>
          <w:lang w:bidi="pt-PT"/>
        </w:rPr>
        <w:t>O propósito e os conceitos da ferramenta são claros?</w:t>
      </w:r>
    </w:p>
    <w:p w14:paraId="038BE10A" w14:textId="77777777" w:rsidR="00776FBF" w:rsidRPr="00893AA5" w:rsidRDefault="00776FBF" w:rsidP="00591FE3">
      <w:pPr>
        <w:pStyle w:val="Agency-body-text"/>
        <w:numPr>
          <w:ilvl w:val="0"/>
          <w:numId w:val="44"/>
        </w:numPr>
        <w:rPr>
          <w:rFonts w:asciiTheme="majorHAnsi" w:hAnsiTheme="majorHAnsi" w:cstheme="majorHAnsi"/>
        </w:rPr>
      </w:pPr>
      <w:r w:rsidRPr="00893AA5">
        <w:rPr>
          <w:rFonts w:asciiTheme="majorHAnsi" w:hAnsiTheme="majorHAnsi" w:cstheme="majorHAnsi"/>
          <w:lang w:bidi="pt-PT"/>
        </w:rPr>
        <w:t>Até que ponto a ferramenta é fácil de utilizar?</w:t>
      </w:r>
    </w:p>
    <w:p w14:paraId="65B89298" w14:textId="77777777" w:rsidR="00FE2827" w:rsidRPr="00893AA5" w:rsidRDefault="00776FBF" w:rsidP="00591FE3">
      <w:pPr>
        <w:pStyle w:val="Agency-body-text"/>
        <w:numPr>
          <w:ilvl w:val="0"/>
          <w:numId w:val="44"/>
        </w:numPr>
        <w:rPr>
          <w:rFonts w:asciiTheme="majorHAnsi" w:eastAsia="MS PGothic" w:hAnsiTheme="majorHAnsi" w:cstheme="majorHAnsi"/>
        </w:rPr>
      </w:pPr>
      <w:r w:rsidRPr="00893AA5">
        <w:rPr>
          <w:rFonts w:asciiTheme="majorHAnsi" w:hAnsiTheme="majorHAnsi" w:cstheme="majorHAnsi"/>
          <w:lang w:bidi="pt-PT"/>
        </w:rPr>
        <w:t>Até que ponto é relevante para si?</w:t>
      </w:r>
    </w:p>
    <w:p w14:paraId="78B64897" w14:textId="77A73C13" w:rsidR="00776FBF" w:rsidRPr="00893AA5" w:rsidRDefault="00776FBF" w:rsidP="00591FE3">
      <w:pPr>
        <w:pStyle w:val="Agency-body-text"/>
        <w:numPr>
          <w:ilvl w:val="0"/>
          <w:numId w:val="44"/>
        </w:numPr>
        <w:rPr>
          <w:rFonts w:asciiTheme="majorHAnsi" w:hAnsiTheme="majorHAnsi" w:cstheme="majorHAnsi"/>
        </w:rPr>
      </w:pPr>
      <w:r w:rsidRPr="00893AA5">
        <w:rPr>
          <w:rFonts w:asciiTheme="majorHAnsi" w:hAnsiTheme="majorHAnsi" w:cstheme="majorHAnsi"/>
          <w:lang w:bidi="pt-PT"/>
        </w:rPr>
        <w:t>Até que ponto esta ferramenta poderia apoiar discussões sobre educação inclusiva?</w:t>
      </w:r>
    </w:p>
    <w:p w14:paraId="040BBB5A" w14:textId="39CDC4DA" w:rsidR="00776FBF" w:rsidRPr="00893AA5" w:rsidRDefault="00776FBF" w:rsidP="00907466">
      <w:pPr>
        <w:pStyle w:val="Agency-body-text"/>
        <w:keepNext/>
        <w:rPr>
          <w:rFonts w:asciiTheme="majorHAnsi" w:hAnsiTheme="majorHAnsi" w:cstheme="majorHAnsi"/>
        </w:rPr>
      </w:pPr>
      <w:r w:rsidRPr="00893AA5">
        <w:rPr>
          <w:rFonts w:asciiTheme="majorHAnsi" w:hAnsiTheme="majorHAnsi" w:cstheme="majorHAnsi"/>
          <w:lang w:bidi="pt-PT"/>
        </w:rPr>
        <w:t>As respostas a estas perguntas visam determinar as adaptações necessárias para tornar a ferramenta relevante para o contexto do país. Tal pode implicar:</w:t>
      </w:r>
    </w:p>
    <w:p w14:paraId="511F0DC9" w14:textId="197146F5" w:rsidR="00776FBF" w:rsidRPr="00893AA5" w:rsidRDefault="009A29FC" w:rsidP="00591FE3">
      <w:pPr>
        <w:pStyle w:val="Agency-body-text"/>
        <w:numPr>
          <w:ilvl w:val="0"/>
          <w:numId w:val="43"/>
        </w:numPr>
        <w:rPr>
          <w:rFonts w:asciiTheme="majorHAnsi" w:hAnsiTheme="majorHAnsi" w:cstheme="majorHAnsi"/>
        </w:rPr>
      </w:pPr>
      <w:r w:rsidRPr="00893AA5">
        <w:rPr>
          <w:rFonts w:asciiTheme="majorHAnsi" w:hAnsiTheme="majorHAnsi" w:cstheme="majorHAnsi"/>
          <w:lang w:bidi="pt-PT"/>
        </w:rPr>
        <w:t>decidir se deve usar toda a ferramenta ou partes dela (ou seja, focar em princípios orientadores específicos e/ou perguntas específicas), de acordo com as prioridades nacionais;</w:t>
      </w:r>
    </w:p>
    <w:p w14:paraId="2F60CAA9" w14:textId="2AAB4779" w:rsidR="00776FBF" w:rsidRPr="00893AA5" w:rsidRDefault="004D13AB" w:rsidP="00591FE3">
      <w:pPr>
        <w:pStyle w:val="Agency-body-text"/>
        <w:numPr>
          <w:ilvl w:val="0"/>
          <w:numId w:val="43"/>
        </w:numPr>
        <w:rPr>
          <w:rFonts w:asciiTheme="majorHAnsi" w:hAnsiTheme="majorHAnsi" w:cstheme="majorHAnsi"/>
        </w:rPr>
      </w:pPr>
      <w:r w:rsidRPr="00893AA5">
        <w:rPr>
          <w:rFonts w:asciiTheme="majorHAnsi" w:hAnsiTheme="majorHAnsi" w:cstheme="majorHAnsi"/>
          <w:lang w:bidi="pt-PT"/>
        </w:rPr>
        <w:t xml:space="preserve">fornecer </w:t>
      </w:r>
      <w:r w:rsidRPr="00893AA5">
        <w:rPr>
          <w:rFonts w:asciiTheme="majorHAnsi" w:hAnsiTheme="majorHAnsi" w:cstheme="majorHAnsi"/>
          <w:i/>
          <w:lang w:bidi="pt-PT"/>
        </w:rPr>
        <w:t>feedback</w:t>
      </w:r>
      <w:r w:rsidRPr="00893AA5">
        <w:rPr>
          <w:rFonts w:asciiTheme="majorHAnsi" w:hAnsiTheme="majorHAnsi" w:cstheme="majorHAnsi"/>
          <w:lang w:bidi="pt-PT"/>
        </w:rPr>
        <w:t xml:space="preserve"> específico sobre os itens da ferramenta (ou seja, rever e adaptar a linguagem e os conceitos ao contexto do país, reformular, adicionar/eliminar perguntas, etc.);</w:t>
      </w:r>
    </w:p>
    <w:p w14:paraId="21B64526" w14:textId="7724C391" w:rsidR="00C16418" w:rsidRPr="00893AA5" w:rsidRDefault="00B815C3" w:rsidP="00591FE3">
      <w:pPr>
        <w:pStyle w:val="Agency-body-text"/>
        <w:numPr>
          <w:ilvl w:val="0"/>
          <w:numId w:val="41"/>
        </w:numPr>
        <w:rPr>
          <w:rFonts w:asciiTheme="majorHAnsi" w:hAnsiTheme="majorHAnsi" w:cstheme="majorHAnsi"/>
        </w:rPr>
      </w:pPr>
      <w:r w:rsidRPr="00893AA5">
        <w:rPr>
          <w:rFonts w:asciiTheme="majorHAnsi" w:hAnsiTheme="majorHAnsi" w:cstheme="majorHAnsi"/>
          <w:lang w:bidi="pt-PT"/>
        </w:rPr>
        <w:t>decidir sobre o processo de utilização da ferramenta de autorrevisão no país.</w:t>
      </w:r>
      <w:r w:rsidR="00C16418" w:rsidRPr="00893AA5">
        <w:rPr>
          <w:rFonts w:asciiTheme="majorHAnsi" w:hAnsiTheme="majorHAnsi" w:cstheme="majorHAnsi"/>
          <w:lang w:bidi="pt-PT"/>
        </w:rPr>
        <w:br w:type="page"/>
      </w:r>
    </w:p>
    <w:p w14:paraId="60227608" w14:textId="5F8C5170" w:rsidR="00C16418" w:rsidRPr="00893AA5" w:rsidRDefault="00C16418" w:rsidP="00907466">
      <w:pPr>
        <w:pStyle w:val="Agency-heading-1"/>
        <w:rPr>
          <w:rFonts w:asciiTheme="majorHAnsi" w:hAnsiTheme="majorHAnsi" w:cstheme="majorHAnsi"/>
        </w:rPr>
      </w:pPr>
      <w:bookmarkStart w:id="22" w:name="_Toc128142441"/>
      <w:r w:rsidRPr="00893AA5">
        <w:rPr>
          <w:rFonts w:asciiTheme="majorHAnsi" w:hAnsiTheme="majorHAnsi" w:cstheme="majorHAnsi"/>
          <w:lang w:bidi="pt-PT"/>
        </w:rPr>
        <w:lastRenderedPageBreak/>
        <w:t>Referências</w:t>
      </w:r>
      <w:bookmarkEnd w:id="22"/>
    </w:p>
    <w:p w14:paraId="16F12A8F" w14:textId="07F1FA72"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Agência </w:t>
      </w:r>
      <w:proofErr w:type="gramStart"/>
      <w:r w:rsidRPr="00893AA5">
        <w:rPr>
          <w:rFonts w:asciiTheme="majorHAnsi" w:hAnsiTheme="majorHAnsi" w:cstheme="majorHAnsi"/>
          <w:lang w:bidi="pt-PT"/>
        </w:rPr>
        <w:t>Europeia</w:t>
      </w:r>
      <w:proofErr w:type="gramEnd"/>
      <w:r w:rsidRPr="00893AA5">
        <w:rPr>
          <w:rFonts w:asciiTheme="majorHAnsi" w:hAnsiTheme="majorHAnsi" w:cstheme="majorHAnsi"/>
          <w:lang w:bidi="pt-PT"/>
        </w:rPr>
        <w:t xml:space="preserve"> para as Necessidades Especiais e a Educação Inclusiva, 2015. </w:t>
      </w:r>
      <w:proofErr w:type="spellStart"/>
      <w:r w:rsidRPr="00893AA5">
        <w:rPr>
          <w:rFonts w:asciiTheme="majorHAnsi" w:hAnsiTheme="majorHAnsi" w:cstheme="majorHAnsi"/>
          <w:i/>
          <w:lang w:bidi="pt-PT"/>
        </w:rPr>
        <w:t>Raising</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the</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Achievement</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of</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All</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Learners</w:t>
      </w:r>
      <w:proofErr w:type="spellEnd"/>
      <w:r w:rsidRPr="00893AA5">
        <w:rPr>
          <w:rFonts w:asciiTheme="majorHAnsi" w:hAnsiTheme="majorHAnsi" w:cstheme="majorHAnsi"/>
          <w:i/>
          <w:lang w:bidi="pt-PT"/>
        </w:rPr>
        <w:t xml:space="preserve"> in Inclusive </w:t>
      </w:r>
      <w:proofErr w:type="spellStart"/>
      <w:r w:rsidRPr="00893AA5">
        <w:rPr>
          <w:rFonts w:asciiTheme="majorHAnsi" w:hAnsiTheme="majorHAnsi" w:cstheme="majorHAnsi"/>
          <w:i/>
          <w:lang w:bidi="pt-PT"/>
        </w:rPr>
        <w:t>Education</w:t>
      </w:r>
      <w:proofErr w:type="spellEnd"/>
      <w:r w:rsidRPr="00893AA5">
        <w:rPr>
          <w:rFonts w:asciiTheme="majorHAnsi" w:hAnsiTheme="majorHAnsi" w:cstheme="majorHAnsi"/>
          <w:i/>
          <w:lang w:bidi="pt-PT"/>
        </w:rPr>
        <w:t xml:space="preserve">. Project Conceptual Framework </w:t>
      </w:r>
      <w:proofErr w:type="spellStart"/>
      <w:r w:rsidRPr="00893AA5">
        <w:rPr>
          <w:rFonts w:asciiTheme="majorHAnsi" w:hAnsiTheme="majorHAnsi" w:cstheme="majorHAnsi"/>
          <w:i/>
          <w:lang w:bidi="pt-PT"/>
        </w:rPr>
        <w:t>and</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Terminology</w:t>
      </w:r>
      <w:proofErr w:type="spellEnd"/>
      <w:r w:rsidRPr="00893AA5">
        <w:rPr>
          <w:rFonts w:asciiTheme="majorHAnsi" w:hAnsiTheme="majorHAnsi" w:cstheme="majorHAnsi"/>
          <w:i/>
          <w:lang w:bidi="pt-PT"/>
        </w:rPr>
        <w:t xml:space="preserve"> [Aumentando o sucesso de todos os alunos no contexto de uma Educação Inclusiva. Quadro de referência concetual do projeto e terminologia]</w:t>
      </w:r>
      <w:r w:rsidRPr="00893AA5">
        <w:rPr>
          <w:rFonts w:asciiTheme="majorHAnsi" w:hAnsiTheme="majorHAnsi" w:cstheme="majorHAnsi"/>
          <w:lang w:bidi="pt-PT"/>
        </w:rPr>
        <w:t>. (V.</w:t>
      </w:r>
      <w:r w:rsidR="00861D80" w:rsidRPr="00893AA5">
        <w:rPr>
          <w:rFonts w:asciiTheme="majorHAnsi" w:hAnsiTheme="majorHAnsi" w:cstheme="majorHAnsi"/>
          <w:lang w:bidi="pt-PT"/>
        </w:rPr>
        <w:t> </w:t>
      </w:r>
      <w:proofErr w:type="spellStart"/>
      <w:r w:rsidRPr="00893AA5">
        <w:rPr>
          <w:rFonts w:asciiTheme="majorHAnsi" w:hAnsiTheme="majorHAnsi" w:cstheme="majorHAnsi"/>
          <w:lang w:bidi="pt-PT"/>
        </w:rPr>
        <w:t>Donnelly</w:t>
      </w:r>
      <w:proofErr w:type="spellEnd"/>
      <w:r w:rsidRPr="00893AA5">
        <w:rPr>
          <w:rFonts w:asciiTheme="majorHAnsi" w:hAnsiTheme="majorHAnsi" w:cstheme="majorHAnsi"/>
          <w:lang w:bidi="pt-PT"/>
        </w:rPr>
        <w:t>, P.</w:t>
      </w:r>
      <w:r w:rsidR="0010716E" w:rsidRPr="00893AA5">
        <w:rPr>
          <w:rFonts w:asciiTheme="majorHAnsi" w:hAnsiTheme="majorHAnsi" w:cstheme="majorHAnsi"/>
          <w:lang w:bidi="pt-PT"/>
        </w:rPr>
        <w:t> </w:t>
      </w:r>
      <w:r w:rsidRPr="00893AA5">
        <w:rPr>
          <w:rFonts w:asciiTheme="majorHAnsi" w:hAnsiTheme="majorHAnsi" w:cstheme="majorHAnsi"/>
          <w:lang w:bidi="pt-PT"/>
        </w:rPr>
        <w:t>Skoglund e H.</w:t>
      </w:r>
      <w:r w:rsidR="00861D80" w:rsidRPr="00893AA5">
        <w:rPr>
          <w:rFonts w:asciiTheme="majorHAnsi" w:hAnsiTheme="majorHAnsi" w:cstheme="majorHAnsi"/>
          <w:lang w:bidi="pt-PT"/>
        </w:rPr>
        <w:t> </w:t>
      </w:r>
      <w:r w:rsidRPr="00893AA5">
        <w:rPr>
          <w:rFonts w:asciiTheme="majorHAnsi" w:hAnsiTheme="majorHAnsi" w:cstheme="majorHAnsi"/>
          <w:lang w:bidi="pt-PT"/>
        </w:rPr>
        <w:t xml:space="preserve">Weber, ed.). Odense, Dinamarca. </w:t>
      </w:r>
      <w:hyperlink r:id="rId41" w:history="1">
        <w:r w:rsidRPr="00893AA5">
          <w:rPr>
            <w:rStyle w:val="Hyperlink"/>
            <w:rFonts w:asciiTheme="majorHAnsi" w:hAnsiTheme="majorHAnsi" w:cstheme="majorHAnsi"/>
            <w:lang w:bidi="pt-PT"/>
          </w:rPr>
          <w:t xml:space="preserve">www.european-agency.org/sites/default/files/Raising </w:t>
        </w:r>
        <w:proofErr w:type="spellStart"/>
        <w:r w:rsidRPr="00893AA5">
          <w:rPr>
            <w:rStyle w:val="Hyperlink"/>
            <w:rFonts w:asciiTheme="majorHAnsi" w:hAnsiTheme="majorHAnsi" w:cstheme="majorHAnsi"/>
            <w:lang w:bidi="pt-PT"/>
          </w:rPr>
          <w:t>Achievement</w:t>
        </w:r>
        <w:proofErr w:type="spellEnd"/>
        <w:r w:rsidRPr="00893AA5">
          <w:rPr>
            <w:rStyle w:val="Hyperlink"/>
            <w:rFonts w:asciiTheme="majorHAnsi" w:hAnsiTheme="majorHAnsi" w:cstheme="majorHAnsi"/>
            <w:lang w:bidi="pt-PT"/>
          </w:rPr>
          <w:t xml:space="preserve"> Conceptual Framework.pdf</w:t>
        </w:r>
      </w:hyperlink>
      <w:r w:rsidRPr="00893AA5">
        <w:rPr>
          <w:rFonts w:asciiTheme="majorHAnsi" w:hAnsiTheme="majorHAnsi" w:cstheme="majorHAnsi"/>
          <w:lang w:bidi="pt-PT"/>
        </w:rPr>
        <w:t xml:space="preserve"> (Último acesso em setembro de 2022)</w:t>
      </w:r>
    </w:p>
    <w:p w14:paraId="3CFA7E06" w14:textId="77777777"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Agência </w:t>
      </w:r>
      <w:proofErr w:type="gramStart"/>
      <w:r w:rsidRPr="00893AA5">
        <w:rPr>
          <w:rFonts w:asciiTheme="majorHAnsi" w:hAnsiTheme="majorHAnsi" w:cstheme="majorHAnsi"/>
          <w:lang w:bidi="pt-PT"/>
        </w:rPr>
        <w:t>Europeia</w:t>
      </w:r>
      <w:proofErr w:type="gramEnd"/>
      <w:r w:rsidRPr="00893AA5">
        <w:rPr>
          <w:rFonts w:asciiTheme="majorHAnsi" w:hAnsiTheme="majorHAnsi" w:cstheme="majorHAnsi"/>
          <w:lang w:bidi="pt-PT"/>
        </w:rPr>
        <w:t xml:space="preserve"> para as Necessidades Especiais e a Educação Inclusiva, 2018. </w:t>
      </w:r>
      <w:proofErr w:type="spellStart"/>
      <w:r w:rsidRPr="00893AA5">
        <w:rPr>
          <w:rFonts w:asciiTheme="majorHAnsi" w:hAnsiTheme="majorHAnsi" w:cstheme="majorHAnsi"/>
          <w:i/>
          <w:lang w:bidi="pt-PT"/>
        </w:rPr>
        <w:t>Analysis</w:t>
      </w:r>
      <w:proofErr w:type="spellEnd"/>
      <w:r w:rsidRPr="00893AA5">
        <w:rPr>
          <w:rFonts w:asciiTheme="majorHAnsi" w:hAnsiTheme="majorHAnsi" w:cstheme="majorHAnsi"/>
          <w:i/>
          <w:lang w:bidi="pt-PT"/>
        </w:rPr>
        <w:t xml:space="preserve"> Framework for </w:t>
      </w:r>
      <w:proofErr w:type="spellStart"/>
      <w:r w:rsidRPr="00893AA5">
        <w:rPr>
          <w:rFonts w:asciiTheme="majorHAnsi" w:hAnsiTheme="majorHAnsi" w:cstheme="majorHAnsi"/>
          <w:i/>
          <w:lang w:bidi="pt-PT"/>
        </w:rPr>
        <w:t>Mapping</w:t>
      </w:r>
      <w:proofErr w:type="spellEnd"/>
      <w:r w:rsidRPr="00893AA5">
        <w:rPr>
          <w:rFonts w:asciiTheme="majorHAnsi" w:hAnsiTheme="majorHAnsi" w:cstheme="majorHAnsi"/>
          <w:i/>
          <w:lang w:bidi="pt-PT"/>
        </w:rPr>
        <w:t xml:space="preserve"> Inclusive </w:t>
      </w:r>
      <w:proofErr w:type="spellStart"/>
      <w:r w:rsidRPr="00893AA5">
        <w:rPr>
          <w:rFonts w:asciiTheme="majorHAnsi" w:hAnsiTheme="majorHAnsi" w:cstheme="majorHAnsi"/>
          <w:i/>
          <w:lang w:bidi="pt-PT"/>
        </w:rPr>
        <w:t>Education</w:t>
      </w:r>
      <w:proofErr w:type="spellEnd"/>
      <w:r w:rsidRPr="00893AA5">
        <w:rPr>
          <w:rFonts w:asciiTheme="majorHAnsi" w:hAnsiTheme="majorHAnsi" w:cstheme="majorHAnsi"/>
          <w:i/>
          <w:lang w:bidi="pt-PT"/>
        </w:rPr>
        <w:t xml:space="preserve"> Policies [Quadro de análise para o mapeamento de políticas para a educação inclusiva]</w:t>
      </w:r>
      <w:r w:rsidRPr="00893AA5">
        <w:rPr>
          <w:rFonts w:asciiTheme="majorHAnsi" w:hAnsiTheme="majorHAnsi" w:cstheme="majorHAnsi"/>
          <w:lang w:bidi="pt-PT"/>
        </w:rPr>
        <w:t>. (V. Soriano, A. </w:t>
      </w:r>
      <w:proofErr w:type="spellStart"/>
      <w:r w:rsidRPr="00893AA5">
        <w:rPr>
          <w:rFonts w:asciiTheme="majorHAnsi" w:hAnsiTheme="majorHAnsi" w:cstheme="majorHAnsi"/>
          <w:lang w:bidi="pt-PT"/>
        </w:rPr>
        <w:t>Watkins</w:t>
      </w:r>
      <w:proofErr w:type="spellEnd"/>
      <w:r w:rsidRPr="00893AA5">
        <w:rPr>
          <w:rFonts w:asciiTheme="majorHAnsi" w:hAnsiTheme="majorHAnsi" w:cstheme="majorHAnsi"/>
          <w:lang w:bidi="pt-PT"/>
        </w:rPr>
        <w:t>, M. Kyriazopoulou, V. </w:t>
      </w:r>
      <w:proofErr w:type="spellStart"/>
      <w:r w:rsidRPr="00893AA5">
        <w:rPr>
          <w:rFonts w:asciiTheme="majorHAnsi" w:hAnsiTheme="majorHAnsi" w:cstheme="majorHAnsi"/>
          <w:lang w:bidi="pt-PT"/>
        </w:rPr>
        <w:t>Donnelly</w:t>
      </w:r>
      <w:proofErr w:type="spellEnd"/>
      <w:r w:rsidRPr="00893AA5">
        <w:rPr>
          <w:rFonts w:asciiTheme="majorHAnsi" w:hAnsiTheme="majorHAnsi" w:cstheme="majorHAnsi"/>
          <w:lang w:bidi="pt-PT"/>
        </w:rPr>
        <w:t>, A. Kefallinou, S. Ebersold e G. </w:t>
      </w:r>
      <w:proofErr w:type="spellStart"/>
      <w:r w:rsidRPr="00893AA5">
        <w:rPr>
          <w:rFonts w:asciiTheme="majorHAnsi" w:hAnsiTheme="majorHAnsi" w:cstheme="majorHAnsi"/>
          <w:lang w:bidi="pt-PT"/>
        </w:rPr>
        <w:t>Squires</w:t>
      </w:r>
      <w:proofErr w:type="spellEnd"/>
      <w:r w:rsidRPr="00893AA5">
        <w:rPr>
          <w:rFonts w:asciiTheme="majorHAnsi" w:hAnsiTheme="majorHAnsi" w:cstheme="majorHAnsi"/>
          <w:lang w:bidi="pt-PT"/>
        </w:rPr>
        <w:t xml:space="preserve">, ed.). Odense, Dinamarca. </w:t>
      </w:r>
      <w:hyperlink r:id="rId42" w:history="1">
        <w:r w:rsidRPr="00893AA5">
          <w:rPr>
            <w:rStyle w:val="Hyperlink"/>
            <w:rFonts w:asciiTheme="majorHAnsi" w:hAnsiTheme="majorHAnsi" w:cstheme="majorHAnsi"/>
            <w:lang w:bidi="pt-PT"/>
          </w:rPr>
          <w:t>www.european-agency.org/resources/publications/analysis-framework-mapping-inclusive-education-policies</w:t>
        </w:r>
      </w:hyperlink>
      <w:r w:rsidRPr="00893AA5">
        <w:rPr>
          <w:rFonts w:asciiTheme="majorHAnsi" w:hAnsiTheme="majorHAnsi" w:cstheme="majorHAnsi"/>
          <w:lang w:bidi="pt-PT"/>
        </w:rPr>
        <w:t xml:space="preserve"> (Último acesso em setembro de 2022)</w:t>
      </w:r>
    </w:p>
    <w:p w14:paraId="70C1905B" w14:textId="77777777"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Agência </w:t>
      </w:r>
      <w:proofErr w:type="gramStart"/>
      <w:r w:rsidRPr="00893AA5">
        <w:rPr>
          <w:rFonts w:asciiTheme="majorHAnsi" w:hAnsiTheme="majorHAnsi" w:cstheme="majorHAnsi"/>
          <w:lang w:bidi="pt-PT"/>
        </w:rPr>
        <w:t>Europeia</w:t>
      </w:r>
      <w:proofErr w:type="gramEnd"/>
      <w:r w:rsidRPr="00893AA5">
        <w:rPr>
          <w:rFonts w:asciiTheme="majorHAnsi" w:hAnsiTheme="majorHAnsi" w:cstheme="majorHAnsi"/>
          <w:lang w:bidi="pt-PT"/>
        </w:rPr>
        <w:t xml:space="preserve"> para as Necessidades Especiais e a Educação Inclusiva, 2021. </w:t>
      </w:r>
      <w:r w:rsidRPr="00893AA5">
        <w:rPr>
          <w:rFonts w:asciiTheme="majorHAnsi" w:hAnsiTheme="majorHAnsi" w:cstheme="majorHAnsi"/>
          <w:i/>
          <w:lang w:bidi="pt-PT"/>
        </w:rPr>
        <w:t>Princípios-Chave – Apoio ao desenvolvimento e à implementação de políticas para a educação inclusiva</w:t>
      </w:r>
      <w:r w:rsidRPr="00893AA5">
        <w:rPr>
          <w:rFonts w:asciiTheme="majorHAnsi" w:hAnsiTheme="majorHAnsi" w:cstheme="majorHAnsi"/>
          <w:lang w:bidi="pt-PT"/>
        </w:rPr>
        <w:t>. (V. J. </w:t>
      </w:r>
      <w:proofErr w:type="spellStart"/>
      <w:r w:rsidRPr="00893AA5">
        <w:rPr>
          <w:rFonts w:asciiTheme="majorHAnsi" w:hAnsiTheme="majorHAnsi" w:cstheme="majorHAnsi"/>
          <w:lang w:bidi="pt-PT"/>
        </w:rPr>
        <w:t>Donnelly</w:t>
      </w:r>
      <w:proofErr w:type="spellEnd"/>
      <w:r w:rsidRPr="00893AA5">
        <w:rPr>
          <w:rFonts w:asciiTheme="majorHAnsi" w:hAnsiTheme="majorHAnsi" w:cstheme="majorHAnsi"/>
          <w:lang w:bidi="pt-PT"/>
        </w:rPr>
        <w:t xml:space="preserve"> e A. </w:t>
      </w:r>
      <w:proofErr w:type="spellStart"/>
      <w:r w:rsidRPr="00893AA5">
        <w:rPr>
          <w:rFonts w:asciiTheme="majorHAnsi" w:hAnsiTheme="majorHAnsi" w:cstheme="majorHAnsi"/>
          <w:lang w:bidi="pt-PT"/>
        </w:rPr>
        <w:t>Watkins</w:t>
      </w:r>
      <w:proofErr w:type="spellEnd"/>
      <w:r w:rsidRPr="00893AA5">
        <w:rPr>
          <w:rFonts w:asciiTheme="majorHAnsi" w:hAnsiTheme="majorHAnsi" w:cstheme="majorHAnsi"/>
          <w:lang w:bidi="pt-PT"/>
        </w:rPr>
        <w:t xml:space="preserve">, ed.). Odense, Dinamarca. </w:t>
      </w:r>
      <w:r w:rsidRPr="00893AA5">
        <w:rPr>
          <w:rFonts w:asciiTheme="majorHAnsi" w:hAnsiTheme="majorHAnsi" w:cstheme="majorHAnsi"/>
          <w:lang w:bidi="pt-PT"/>
        </w:rPr>
        <w:br/>
      </w:r>
      <w:hyperlink r:id="rId43" w:history="1">
        <w:r w:rsidRPr="00893AA5">
          <w:rPr>
            <w:rStyle w:val="Hyperlink"/>
            <w:rFonts w:asciiTheme="majorHAnsi" w:hAnsiTheme="majorHAnsi" w:cstheme="majorHAnsi"/>
            <w:lang w:bidi="pt-PT"/>
          </w:rPr>
          <w:t>www.european-agency.org/resources/publications/key-principles-supporting-policy-development-implementation</w:t>
        </w:r>
      </w:hyperlink>
      <w:r w:rsidRPr="00893AA5">
        <w:rPr>
          <w:rFonts w:asciiTheme="majorHAnsi" w:hAnsiTheme="majorHAnsi" w:cstheme="majorHAnsi"/>
          <w:lang w:bidi="pt-PT"/>
        </w:rPr>
        <w:t xml:space="preserve"> (Último acesso em setembro de 2022)</w:t>
      </w:r>
    </w:p>
    <w:p w14:paraId="4CCBEDA4" w14:textId="683C581F"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Agência </w:t>
      </w:r>
      <w:proofErr w:type="gramStart"/>
      <w:r w:rsidRPr="00893AA5">
        <w:rPr>
          <w:rFonts w:asciiTheme="majorHAnsi" w:hAnsiTheme="majorHAnsi" w:cstheme="majorHAnsi"/>
          <w:lang w:bidi="pt-PT"/>
        </w:rPr>
        <w:t>Europeia</w:t>
      </w:r>
      <w:proofErr w:type="gramEnd"/>
      <w:r w:rsidRPr="00893AA5">
        <w:rPr>
          <w:rFonts w:asciiTheme="majorHAnsi" w:hAnsiTheme="majorHAnsi" w:cstheme="majorHAnsi"/>
          <w:lang w:bidi="pt-PT"/>
        </w:rPr>
        <w:t xml:space="preserve"> para as Necessidades Especiais e a Educação Inclusiva, 2022. </w:t>
      </w:r>
      <w:proofErr w:type="spellStart"/>
      <w:r w:rsidRPr="00893AA5">
        <w:rPr>
          <w:rFonts w:asciiTheme="majorHAnsi" w:hAnsiTheme="majorHAnsi" w:cstheme="majorHAnsi"/>
          <w:i/>
          <w:lang w:bidi="pt-PT"/>
        </w:rPr>
        <w:t>Changing</w:t>
      </w:r>
      <w:proofErr w:type="spellEnd"/>
      <w:r w:rsidRPr="00893AA5">
        <w:rPr>
          <w:rFonts w:asciiTheme="majorHAnsi" w:hAnsiTheme="majorHAnsi" w:cstheme="majorHAnsi"/>
          <w:i/>
          <w:lang w:bidi="pt-PT"/>
        </w:rPr>
        <w:t xml:space="preserve"> Role </w:t>
      </w:r>
      <w:proofErr w:type="spellStart"/>
      <w:r w:rsidRPr="00893AA5">
        <w:rPr>
          <w:rFonts w:asciiTheme="majorHAnsi" w:hAnsiTheme="majorHAnsi" w:cstheme="majorHAnsi"/>
          <w:i/>
          <w:lang w:bidi="pt-PT"/>
        </w:rPr>
        <w:t>of</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Specialist</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Provision</w:t>
      </w:r>
      <w:proofErr w:type="spellEnd"/>
      <w:r w:rsidRPr="00893AA5">
        <w:rPr>
          <w:rFonts w:asciiTheme="majorHAnsi" w:hAnsiTheme="majorHAnsi" w:cstheme="majorHAnsi"/>
          <w:i/>
          <w:lang w:bidi="pt-PT"/>
        </w:rPr>
        <w:t xml:space="preserve"> in </w:t>
      </w:r>
      <w:proofErr w:type="spellStart"/>
      <w:r w:rsidRPr="00893AA5">
        <w:rPr>
          <w:rFonts w:asciiTheme="majorHAnsi" w:hAnsiTheme="majorHAnsi" w:cstheme="majorHAnsi"/>
          <w:i/>
          <w:lang w:bidi="pt-PT"/>
        </w:rPr>
        <w:t>Supporting</w:t>
      </w:r>
      <w:proofErr w:type="spellEnd"/>
      <w:r w:rsidRPr="00893AA5">
        <w:rPr>
          <w:rFonts w:asciiTheme="majorHAnsi" w:hAnsiTheme="majorHAnsi" w:cstheme="majorHAnsi"/>
          <w:i/>
          <w:lang w:bidi="pt-PT"/>
        </w:rPr>
        <w:t xml:space="preserve"> Inclusive </w:t>
      </w:r>
      <w:proofErr w:type="spellStart"/>
      <w:r w:rsidRPr="00893AA5">
        <w:rPr>
          <w:rFonts w:asciiTheme="majorHAnsi" w:hAnsiTheme="majorHAnsi" w:cstheme="majorHAnsi"/>
          <w:i/>
          <w:lang w:bidi="pt-PT"/>
        </w:rPr>
        <w:t>Education</w:t>
      </w:r>
      <w:proofErr w:type="spellEnd"/>
      <w:r w:rsidRPr="00893AA5">
        <w:rPr>
          <w:rFonts w:asciiTheme="majorHAnsi" w:hAnsiTheme="majorHAnsi" w:cstheme="majorHAnsi"/>
          <w:i/>
          <w:lang w:bidi="pt-PT"/>
        </w:rPr>
        <w:t xml:space="preserve">: Final </w:t>
      </w:r>
      <w:proofErr w:type="spellStart"/>
      <w:r w:rsidRPr="00893AA5">
        <w:rPr>
          <w:rFonts w:asciiTheme="majorHAnsi" w:hAnsiTheme="majorHAnsi" w:cstheme="majorHAnsi"/>
          <w:i/>
          <w:lang w:bidi="pt-PT"/>
        </w:rPr>
        <w:t>Synthesis</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Report</w:t>
      </w:r>
      <w:proofErr w:type="spellEnd"/>
      <w:r w:rsidRPr="00893AA5">
        <w:rPr>
          <w:rFonts w:asciiTheme="majorHAnsi" w:hAnsiTheme="majorHAnsi" w:cstheme="majorHAnsi"/>
          <w:i/>
          <w:lang w:bidi="pt-PT"/>
        </w:rPr>
        <w:t xml:space="preserve"> [Mudança do papel dos serviços especializados no apoio à educação inclusiva:</w:t>
      </w:r>
      <w:r w:rsidR="00BD27EC" w:rsidRPr="00893AA5">
        <w:rPr>
          <w:rFonts w:asciiTheme="majorHAnsi" w:hAnsiTheme="majorHAnsi" w:cstheme="majorHAnsi"/>
          <w:i/>
          <w:lang w:bidi="pt-PT"/>
        </w:rPr>
        <w:t xml:space="preserve"> </w:t>
      </w:r>
      <w:r w:rsidRPr="00893AA5">
        <w:rPr>
          <w:rFonts w:asciiTheme="majorHAnsi" w:hAnsiTheme="majorHAnsi" w:cstheme="majorHAnsi"/>
          <w:i/>
          <w:lang w:bidi="pt-PT"/>
        </w:rPr>
        <w:t>Relatório síntese final]</w:t>
      </w:r>
      <w:r w:rsidRPr="00893AA5">
        <w:rPr>
          <w:rFonts w:asciiTheme="majorHAnsi" w:hAnsiTheme="majorHAnsi" w:cstheme="majorHAnsi"/>
          <w:lang w:bidi="pt-PT"/>
        </w:rPr>
        <w:t>. (A. Kefallinou, M. Kyriazopoulou, S. Ebersold, P. Skoglund, E. Rebollo Píriz e M. Lučić Wichmann, ed.). Odense, Dinamarca</w:t>
      </w:r>
    </w:p>
    <w:p w14:paraId="46688CB6" w14:textId="56E30465"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Agência </w:t>
      </w:r>
      <w:proofErr w:type="gramStart"/>
      <w:r w:rsidRPr="00893AA5">
        <w:rPr>
          <w:rFonts w:asciiTheme="majorHAnsi" w:hAnsiTheme="majorHAnsi" w:cstheme="majorHAnsi"/>
          <w:lang w:bidi="pt-PT"/>
        </w:rPr>
        <w:t>Europeia</w:t>
      </w:r>
      <w:proofErr w:type="gramEnd"/>
      <w:r w:rsidRPr="00893AA5">
        <w:rPr>
          <w:rFonts w:asciiTheme="majorHAnsi" w:hAnsiTheme="majorHAnsi" w:cstheme="majorHAnsi"/>
          <w:lang w:bidi="pt-PT"/>
        </w:rPr>
        <w:t xml:space="preserve"> para as Necessidades Especiais e a Educação Inclusiva, sem data. </w:t>
      </w:r>
      <w:proofErr w:type="spellStart"/>
      <w:r w:rsidRPr="00893AA5">
        <w:rPr>
          <w:rFonts w:asciiTheme="majorHAnsi" w:hAnsiTheme="majorHAnsi" w:cstheme="majorHAnsi"/>
          <w:i/>
          <w:lang w:bidi="pt-PT"/>
        </w:rPr>
        <w:t>Increasing</w:t>
      </w:r>
      <w:proofErr w:type="spellEnd"/>
      <w:r w:rsidRPr="00893AA5">
        <w:rPr>
          <w:rFonts w:asciiTheme="majorHAnsi" w:hAnsiTheme="majorHAnsi" w:cstheme="majorHAnsi"/>
          <w:i/>
          <w:lang w:bidi="pt-PT"/>
        </w:rPr>
        <w:t xml:space="preserve"> Inclusive </w:t>
      </w:r>
      <w:proofErr w:type="spellStart"/>
      <w:r w:rsidRPr="00893AA5">
        <w:rPr>
          <w:rFonts w:asciiTheme="majorHAnsi" w:hAnsiTheme="majorHAnsi" w:cstheme="majorHAnsi"/>
          <w:i/>
          <w:lang w:bidi="pt-PT"/>
        </w:rPr>
        <w:t>Capability</w:t>
      </w:r>
      <w:proofErr w:type="spellEnd"/>
      <w:r w:rsidRPr="00893AA5">
        <w:rPr>
          <w:rFonts w:asciiTheme="majorHAnsi" w:hAnsiTheme="majorHAnsi" w:cstheme="majorHAnsi"/>
          <w:i/>
          <w:lang w:bidi="pt-PT"/>
        </w:rPr>
        <w:t xml:space="preserve"> [Aumento da capacidade inclusiva]</w:t>
      </w:r>
      <w:r w:rsidRPr="00893AA5">
        <w:rPr>
          <w:rFonts w:asciiTheme="majorHAnsi" w:hAnsiTheme="majorHAnsi" w:cstheme="majorHAnsi"/>
          <w:lang w:bidi="pt-PT"/>
        </w:rPr>
        <w:t xml:space="preserve">. </w:t>
      </w:r>
      <w:r w:rsidR="00664224" w:rsidRPr="00893AA5">
        <w:rPr>
          <w:rFonts w:asciiTheme="majorHAnsi" w:hAnsiTheme="majorHAnsi" w:cstheme="majorHAnsi"/>
          <w:lang w:bidi="pt-PT"/>
        </w:rPr>
        <w:br/>
      </w:r>
      <w:hyperlink r:id="rId44" w:history="1">
        <w:r w:rsidR="00D10767" w:rsidRPr="00893AA5">
          <w:rPr>
            <w:rStyle w:val="Hyperlink"/>
            <w:rFonts w:asciiTheme="majorHAnsi" w:hAnsiTheme="majorHAnsi" w:cstheme="majorHAnsi"/>
            <w:lang w:bidi="pt-PT"/>
          </w:rPr>
          <w:t>www.european-agency.org/projects/organisation-provision-support-inclusive-education/increasing-inclusive-capability/what-restricts-participation-and-learning-all-children-and-young-people-and-what-action-can-be</w:t>
        </w:r>
      </w:hyperlink>
      <w:r w:rsidRPr="00893AA5">
        <w:rPr>
          <w:rFonts w:asciiTheme="majorHAnsi" w:hAnsiTheme="majorHAnsi" w:cstheme="majorHAnsi"/>
          <w:lang w:bidi="pt-PT"/>
        </w:rPr>
        <w:t xml:space="preserve"> (Último acesso em setembro de 2022)</w:t>
      </w:r>
    </w:p>
    <w:p w14:paraId="33EAFDAE" w14:textId="5C172FA3" w:rsidR="003B2947" w:rsidRPr="00893AA5" w:rsidRDefault="003B2947" w:rsidP="00505BA1">
      <w:pPr>
        <w:pStyle w:val="Agency-body-text"/>
        <w:keepLines/>
        <w:rPr>
          <w:rFonts w:asciiTheme="majorHAnsi" w:hAnsiTheme="majorHAnsi" w:cstheme="majorHAnsi"/>
        </w:rPr>
      </w:pPr>
      <w:r w:rsidRPr="00505BA1">
        <w:rPr>
          <w:rFonts w:asciiTheme="majorHAnsi" w:hAnsiTheme="majorHAnsi" w:cstheme="majorHAnsi"/>
          <w:lang w:bidi="pt-PT"/>
        </w:rPr>
        <w:t xml:space="preserve">Centre for </w:t>
      </w:r>
      <w:proofErr w:type="spellStart"/>
      <w:r w:rsidRPr="00505BA1">
        <w:rPr>
          <w:rFonts w:asciiTheme="majorHAnsi" w:hAnsiTheme="majorHAnsi" w:cstheme="majorHAnsi"/>
          <w:lang w:bidi="pt-PT"/>
        </w:rPr>
        <w:t>Applied</w:t>
      </w:r>
      <w:proofErr w:type="spellEnd"/>
      <w:r w:rsidRPr="00505BA1">
        <w:rPr>
          <w:rFonts w:asciiTheme="majorHAnsi" w:hAnsiTheme="majorHAnsi" w:cstheme="majorHAnsi"/>
          <w:lang w:bidi="pt-PT"/>
        </w:rPr>
        <w:t xml:space="preserve"> </w:t>
      </w:r>
      <w:proofErr w:type="spellStart"/>
      <w:r w:rsidRPr="00505BA1">
        <w:rPr>
          <w:rFonts w:asciiTheme="majorHAnsi" w:hAnsiTheme="majorHAnsi" w:cstheme="majorHAnsi"/>
          <w:lang w:bidi="pt-PT"/>
        </w:rPr>
        <w:t>Special</w:t>
      </w:r>
      <w:proofErr w:type="spellEnd"/>
      <w:r w:rsidRPr="00505BA1">
        <w:rPr>
          <w:rFonts w:asciiTheme="majorHAnsi" w:hAnsiTheme="majorHAnsi" w:cstheme="majorHAnsi"/>
          <w:lang w:bidi="pt-PT"/>
        </w:rPr>
        <w:t xml:space="preserve"> </w:t>
      </w:r>
      <w:proofErr w:type="spellStart"/>
      <w:r w:rsidRPr="00505BA1">
        <w:rPr>
          <w:rFonts w:asciiTheme="majorHAnsi" w:hAnsiTheme="majorHAnsi" w:cstheme="majorHAnsi"/>
          <w:lang w:bidi="pt-PT"/>
        </w:rPr>
        <w:t>Technology</w:t>
      </w:r>
      <w:proofErr w:type="spellEnd"/>
      <w:r w:rsidRPr="00505BA1">
        <w:rPr>
          <w:rFonts w:asciiTheme="majorHAnsi" w:hAnsiTheme="majorHAnsi" w:cstheme="majorHAnsi"/>
          <w:lang w:bidi="pt-PT"/>
        </w:rPr>
        <w:t xml:space="preserve">, sem data. </w:t>
      </w:r>
      <w:proofErr w:type="spellStart"/>
      <w:r w:rsidRPr="00893AA5">
        <w:rPr>
          <w:rFonts w:asciiTheme="majorHAnsi" w:hAnsiTheme="majorHAnsi" w:cstheme="majorHAnsi"/>
          <w:i/>
          <w:lang w:bidi="pt-PT"/>
        </w:rPr>
        <w:t>About</w:t>
      </w:r>
      <w:proofErr w:type="spellEnd"/>
      <w:r w:rsidRPr="00893AA5">
        <w:rPr>
          <w:rFonts w:asciiTheme="majorHAnsi" w:hAnsiTheme="majorHAnsi" w:cstheme="majorHAnsi"/>
          <w:i/>
          <w:lang w:bidi="pt-PT"/>
        </w:rPr>
        <w:t xml:space="preserve"> Universal Design for </w:t>
      </w:r>
      <w:proofErr w:type="spellStart"/>
      <w:r w:rsidRPr="00893AA5">
        <w:rPr>
          <w:rFonts w:asciiTheme="majorHAnsi" w:hAnsiTheme="majorHAnsi" w:cstheme="majorHAnsi"/>
          <w:i/>
          <w:lang w:bidi="pt-PT"/>
        </w:rPr>
        <w:t>Learning</w:t>
      </w:r>
      <w:proofErr w:type="spellEnd"/>
      <w:r w:rsidRPr="00893AA5">
        <w:rPr>
          <w:rFonts w:asciiTheme="majorHAnsi" w:hAnsiTheme="majorHAnsi" w:cstheme="majorHAnsi"/>
          <w:lang w:bidi="pt-PT"/>
        </w:rPr>
        <w:t xml:space="preserve"> </w:t>
      </w:r>
      <w:r w:rsidRPr="00893AA5">
        <w:rPr>
          <w:rFonts w:asciiTheme="majorHAnsi" w:hAnsiTheme="majorHAnsi" w:cstheme="majorHAnsi"/>
          <w:i/>
          <w:lang w:bidi="pt-PT"/>
        </w:rPr>
        <w:t>[Sobre o desenho universal para a aprendizagem]</w:t>
      </w:r>
      <w:r w:rsidRPr="00893AA5">
        <w:rPr>
          <w:rFonts w:asciiTheme="majorHAnsi" w:hAnsiTheme="majorHAnsi" w:cstheme="majorHAnsi"/>
          <w:lang w:bidi="pt-PT"/>
        </w:rPr>
        <w:t xml:space="preserve">. </w:t>
      </w:r>
      <w:r w:rsidR="00D10767" w:rsidRPr="00893AA5">
        <w:rPr>
          <w:rFonts w:asciiTheme="majorHAnsi" w:hAnsiTheme="majorHAnsi" w:cstheme="majorHAnsi"/>
          <w:lang w:bidi="pt-PT"/>
        </w:rPr>
        <w:br/>
      </w:r>
      <w:hyperlink r:id="rId45" w:history="1">
        <w:r w:rsidR="00893AA5" w:rsidRPr="00893AA5">
          <w:rPr>
            <w:rStyle w:val="Hyperlink"/>
            <w:rFonts w:asciiTheme="majorHAnsi" w:hAnsiTheme="majorHAnsi" w:cstheme="majorHAnsi"/>
            <w:lang w:bidi="pt-PT"/>
          </w:rPr>
          <w:t>www.cast.org/impact/universal-design-for-learning-udl</w:t>
        </w:r>
      </w:hyperlink>
      <w:r w:rsidRPr="00893AA5">
        <w:rPr>
          <w:rFonts w:asciiTheme="majorHAnsi" w:hAnsiTheme="majorHAnsi" w:cstheme="majorHAnsi"/>
          <w:lang w:bidi="pt-PT"/>
        </w:rPr>
        <w:t xml:space="preserve"> (Último acesso em setembro de 2022)</w:t>
      </w:r>
    </w:p>
    <w:p w14:paraId="5912D4B3" w14:textId="10D4EC6A" w:rsidR="003B2947" w:rsidRPr="00893AA5" w:rsidRDefault="003B2947" w:rsidP="00505BA1">
      <w:pPr>
        <w:pStyle w:val="Agency-body-text"/>
        <w:keepLines/>
        <w:rPr>
          <w:rFonts w:asciiTheme="majorHAnsi" w:hAnsiTheme="majorHAnsi" w:cstheme="majorHAnsi"/>
        </w:rPr>
      </w:pPr>
      <w:r w:rsidRPr="00505BA1">
        <w:rPr>
          <w:rFonts w:asciiTheme="majorHAnsi" w:hAnsiTheme="majorHAnsi" w:cstheme="majorHAnsi"/>
          <w:lang w:bidi="pt-PT"/>
        </w:rPr>
        <w:t xml:space="preserve">Great Schools Partnership, 2014. </w:t>
      </w:r>
      <w:r w:rsidR="00541F06" w:rsidRPr="00893AA5">
        <w:rPr>
          <w:rFonts w:asciiTheme="majorHAnsi" w:hAnsiTheme="majorHAnsi" w:cstheme="majorHAnsi"/>
          <w:lang w:bidi="bg-BG"/>
        </w:rPr>
        <w:t xml:space="preserve">‘Professional </w:t>
      </w:r>
      <w:proofErr w:type="spellStart"/>
      <w:r w:rsidR="00541F06" w:rsidRPr="00893AA5">
        <w:rPr>
          <w:rFonts w:asciiTheme="majorHAnsi" w:hAnsiTheme="majorHAnsi" w:cstheme="majorHAnsi"/>
          <w:lang w:bidi="bg-BG"/>
        </w:rPr>
        <w:t>learning</w:t>
      </w:r>
      <w:proofErr w:type="spellEnd"/>
      <w:r w:rsidR="00541F06" w:rsidRPr="00893AA5">
        <w:rPr>
          <w:rFonts w:asciiTheme="majorHAnsi" w:hAnsiTheme="majorHAnsi" w:cstheme="majorHAnsi"/>
          <w:lang w:bidi="bg-BG"/>
        </w:rPr>
        <w:t xml:space="preserve"> </w:t>
      </w:r>
      <w:proofErr w:type="spellStart"/>
      <w:r w:rsidR="00541F06" w:rsidRPr="00893AA5">
        <w:rPr>
          <w:rFonts w:asciiTheme="majorHAnsi" w:hAnsiTheme="majorHAnsi" w:cstheme="majorHAnsi"/>
          <w:lang w:bidi="bg-BG"/>
        </w:rPr>
        <w:t>community</w:t>
      </w:r>
      <w:proofErr w:type="spellEnd"/>
      <w:r w:rsidR="00541F06" w:rsidRPr="00893AA5">
        <w:rPr>
          <w:rFonts w:asciiTheme="majorHAnsi" w:hAnsiTheme="majorHAnsi" w:cstheme="majorHAnsi"/>
          <w:lang w:bidi="bg-BG"/>
        </w:rPr>
        <w:t xml:space="preserve">’ </w:t>
      </w:r>
      <w:r w:rsidRPr="00505BA1">
        <w:rPr>
          <w:rFonts w:asciiTheme="majorHAnsi" w:hAnsiTheme="majorHAnsi" w:cstheme="majorHAnsi"/>
          <w:lang w:bidi="pt-PT"/>
        </w:rPr>
        <w:t>[</w:t>
      </w:r>
      <w:r w:rsidR="00BD27EC" w:rsidRPr="00893AA5">
        <w:rPr>
          <w:rFonts w:asciiTheme="majorHAnsi" w:hAnsiTheme="majorHAnsi" w:cstheme="majorHAnsi"/>
          <w:lang w:bidi="pt-PT"/>
        </w:rPr>
        <w:t>«</w:t>
      </w:r>
      <w:r w:rsidRPr="00505BA1">
        <w:rPr>
          <w:rFonts w:asciiTheme="majorHAnsi" w:hAnsiTheme="majorHAnsi" w:cstheme="majorHAnsi"/>
          <w:lang w:bidi="pt-PT"/>
        </w:rPr>
        <w:t>Comunidade de aprendizagem profissional</w:t>
      </w:r>
      <w:r w:rsidR="00BD27EC" w:rsidRPr="00505BA1">
        <w:rPr>
          <w:rFonts w:asciiTheme="majorHAnsi" w:hAnsiTheme="majorHAnsi" w:cstheme="majorHAnsi"/>
          <w:lang w:bidi="pt-PT"/>
        </w:rPr>
        <w:t>»</w:t>
      </w:r>
      <w:r w:rsidRPr="00505BA1">
        <w:rPr>
          <w:rFonts w:asciiTheme="majorHAnsi" w:hAnsiTheme="majorHAnsi" w:cstheme="majorHAnsi"/>
          <w:lang w:bidi="pt-PT"/>
        </w:rPr>
        <w:t>]</w:t>
      </w:r>
      <w:r w:rsidRPr="00505BA1">
        <w:rPr>
          <w:rFonts w:asciiTheme="majorHAnsi" w:hAnsiTheme="majorHAnsi" w:cstheme="majorHAnsi"/>
          <w:iCs/>
          <w:lang w:bidi="pt-PT"/>
        </w:rPr>
        <w:t>,</w:t>
      </w:r>
      <w:r w:rsidRPr="00505BA1">
        <w:rPr>
          <w:rFonts w:asciiTheme="majorHAnsi" w:hAnsiTheme="majorHAnsi" w:cstheme="majorHAnsi"/>
          <w:i/>
          <w:lang w:bidi="pt-PT"/>
        </w:rPr>
        <w:t xml:space="preserve"> </w:t>
      </w:r>
      <w:proofErr w:type="spellStart"/>
      <w:r w:rsidRPr="00505BA1">
        <w:rPr>
          <w:rFonts w:asciiTheme="majorHAnsi" w:hAnsiTheme="majorHAnsi" w:cstheme="majorHAnsi"/>
          <w:i/>
          <w:lang w:bidi="pt-PT"/>
        </w:rPr>
        <w:t>Glossary</w:t>
      </w:r>
      <w:proofErr w:type="spellEnd"/>
      <w:r w:rsidRPr="00505BA1">
        <w:rPr>
          <w:rFonts w:asciiTheme="majorHAnsi" w:hAnsiTheme="majorHAnsi" w:cstheme="majorHAnsi"/>
          <w:i/>
          <w:lang w:bidi="pt-PT"/>
        </w:rPr>
        <w:t xml:space="preserve"> </w:t>
      </w:r>
      <w:proofErr w:type="spellStart"/>
      <w:r w:rsidRPr="00505BA1">
        <w:rPr>
          <w:rFonts w:asciiTheme="majorHAnsi" w:hAnsiTheme="majorHAnsi" w:cstheme="majorHAnsi"/>
          <w:i/>
          <w:lang w:bidi="pt-PT"/>
        </w:rPr>
        <w:t>of</w:t>
      </w:r>
      <w:proofErr w:type="spellEnd"/>
      <w:r w:rsidRPr="00505BA1">
        <w:rPr>
          <w:rFonts w:asciiTheme="majorHAnsi" w:hAnsiTheme="majorHAnsi" w:cstheme="majorHAnsi"/>
          <w:i/>
          <w:lang w:bidi="pt-PT"/>
        </w:rPr>
        <w:t xml:space="preserve"> </w:t>
      </w:r>
      <w:proofErr w:type="spellStart"/>
      <w:r w:rsidRPr="00505BA1">
        <w:rPr>
          <w:rFonts w:asciiTheme="majorHAnsi" w:hAnsiTheme="majorHAnsi" w:cstheme="majorHAnsi"/>
          <w:i/>
          <w:lang w:bidi="pt-PT"/>
        </w:rPr>
        <w:t>Education</w:t>
      </w:r>
      <w:proofErr w:type="spellEnd"/>
      <w:r w:rsidRPr="00505BA1">
        <w:rPr>
          <w:rFonts w:asciiTheme="majorHAnsi" w:hAnsiTheme="majorHAnsi" w:cstheme="majorHAnsi"/>
          <w:i/>
          <w:lang w:bidi="pt-PT"/>
        </w:rPr>
        <w:t xml:space="preserve"> </w:t>
      </w:r>
      <w:proofErr w:type="spellStart"/>
      <w:r w:rsidRPr="00505BA1">
        <w:rPr>
          <w:rFonts w:asciiTheme="majorHAnsi" w:hAnsiTheme="majorHAnsi" w:cstheme="majorHAnsi"/>
          <w:i/>
          <w:lang w:bidi="pt-PT"/>
        </w:rPr>
        <w:t>Reform</w:t>
      </w:r>
      <w:proofErr w:type="spellEnd"/>
      <w:r w:rsidRPr="00505BA1">
        <w:rPr>
          <w:rFonts w:asciiTheme="majorHAnsi" w:hAnsiTheme="majorHAnsi" w:cstheme="majorHAnsi"/>
          <w:lang w:bidi="pt-PT"/>
        </w:rPr>
        <w:t xml:space="preserve">. </w:t>
      </w:r>
      <w:hyperlink r:id="rId46" w:history="1">
        <w:r w:rsidRPr="00893AA5">
          <w:rPr>
            <w:rStyle w:val="Hyperlink"/>
            <w:rFonts w:asciiTheme="majorHAnsi" w:hAnsiTheme="majorHAnsi" w:cstheme="majorHAnsi"/>
            <w:lang w:bidi="pt-PT"/>
          </w:rPr>
          <w:t>www.edglossary.org/professional-learning-community</w:t>
        </w:r>
      </w:hyperlink>
      <w:r w:rsidRPr="00893AA5">
        <w:rPr>
          <w:rFonts w:asciiTheme="majorHAnsi" w:hAnsiTheme="majorHAnsi" w:cstheme="majorHAnsi"/>
          <w:lang w:bidi="pt-PT"/>
        </w:rPr>
        <w:t xml:space="preserve"> (Último acesso em setembro de 2022)</w:t>
      </w:r>
    </w:p>
    <w:p w14:paraId="4276C4B9" w14:textId="77777777"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t xml:space="preserve">Oxford Learner’s Dictionaries. </w:t>
      </w:r>
      <w:hyperlink r:id="rId47" w:history="1">
        <w:r w:rsidRPr="00893AA5">
          <w:rPr>
            <w:rStyle w:val="Hyperlink"/>
            <w:rFonts w:asciiTheme="majorHAnsi" w:hAnsiTheme="majorHAnsi" w:cstheme="majorHAnsi"/>
            <w:lang w:bidi="pt-PT"/>
          </w:rPr>
          <w:t>www.oxfordlearnersdictionaries.com</w:t>
        </w:r>
      </w:hyperlink>
      <w:r w:rsidRPr="00893AA5">
        <w:rPr>
          <w:rFonts w:asciiTheme="majorHAnsi" w:hAnsiTheme="majorHAnsi" w:cstheme="majorHAnsi"/>
          <w:lang w:bidi="pt-PT"/>
        </w:rPr>
        <w:t xml:space="preserve"> (Último acesso em setembro de 2022)</w:t>
      </w:r>
    </w:p>
    <w:p w14:paraId="6165C40C" w14:textId="77777777" w:rsidR="003B2947" w:rsidRPr="00893AA5" w:rsidRDefault="003B2947" w:rsidP="00505BA1">
      <w:pPr>
        <w:pStyle w:val="Agency-body-text"/>
        <w:keepLines/>
        <w:rPr>
          <w:rFonts w:asciiTheme="majorHAnsi" w:hAnsiTheme="majorHAnsi" w:cstheme="majorHAnsi"/>
        </w:rPr>
      </w:pPr>
      <w:r w:rsidRPr="00893AA5">
        <w:rPr>
          <w:rFonts w:asciiTheme="majorHAnsi" w:hAnsiTheme="majorHAnsi" w:cstheme="majorHAnsi"/>
          <w:lang w:bidi="pt-PT"/>
        </w:rPr>
        <w:lastRenderedPageBreak/>
        <w:t xml:space="preserve">UNESCO, 2020. </w:t>
      </w:r>
      <w:r w:rsidRPr="00893AA5">
        <w:rPr>
          <w:rFonts w:asciiTheme="majorHAnsi" w:hAnsiTheme="majorHAnsi" w:cstheme="majorHAnsi"/>
          <w:i/>
          <w:lang w:bidi="pt-PT"/>
        </w:rPr>
        <w:t xml:space="preserve">Global </w:t>
      </w:r>
      <w:proofErr w:type="spellStart"/>
      <w:r w:rsidRPr="00893AA5">
        <w:rPr>
          <w:rFonts w:asciiTheme="majorHAnsi" w:hAnsiTheme="majorHAnsi" w:cstheme="majorHAnsi"/>
          <w:i/>
          <w:lang w:bidi="pt-PT"/>
        </w:rPr>
        <w:t>Education</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Monitoring</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Report</w:t>
      </w:r>
      <w:proofErr w:type="spellEnd"/>
      <w:r w:rsidRPr="00893AA5">
        <w:rPr>
          <w:rFonts w:asciiTheme="majorHAnsi" w:hAnsiTheme="majorHAnsi" w:cstheme="majorHAnsi"/>
          <w:i/>
          <w:lang w:bidi="pt-PT"/>
        </w:rPr>
        <w:t xml:space="preserve"> 2020: </w:t>
      </w:r>
      <w:proofErr w:type="spellStart"/>
      <w:r w:rsidRPr="00893AA5">
        <w:rPr>
          <w:rFonts w:asciiTheme="majorHAnsi" w:hAnsiTheme="majorHAnsi" w:cstheme="majorHAnsi"/>
          <w:i/>
          <w:lang w:bidi="pt-PT"/>
        </w:rPr>
        <w:t>Inclusion</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and</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education</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All</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means</w:t>
      </w:r>
      <w:proofErr w:type="spellEnd"/>
      <w:r w:rsidRPr="00893AA5">
        <w:rPr>
          <w:rFonts w:asciiTheme="majorHAnsi" w:hAnsiTheme="majorHAnsi" w:cstheme="majorHAnsi"/>
          <w:i/>
          <w:lang w:bidi="pt-PT"/>
        </w:rPr>
        <w:t xml:space="preserve"> </w:t>
      </w:r>
      <w:proofErr w:type="spellStart"/>
      <w:r w:rsidRPr="00893AA5">
        <w:rPr>
          <w:rFonts w:asciiTheme="majorHAnsi" w:hAnsiTheme="majorHAnsi" w:cstheme="majorHAnsi"/>
          <w:i/>
          <w:lang w:bidi="pt-PT"/>
        </w:rPr>
        <w:t>all</w:t>
      </w:r>
      <w:proofErr w:type="spellEnd"/>
      <w:r w:rsidRPr="00893AA5">
        <w:rPr>
          <w:rFonts w:asciiTheme="majorHAnsi" w:hAnsiTheme="majorHAnsi" w:cstheme="majorHAnsi"/>
          <w:i/>
          <w:lang w:bidi="pt-PT"/>
        </w:rPr>
        <w:t xml:space="preserve"> [Relatório Mundial de Monitorização da Educação de 2020: Inclusão e educação: Todos, sem exceção]</w:t>
      </w:r>
      <w:r w:rsidRPr="00893AA5">
        <w:rPr>
          <w:rFonts w:asciiTheme="majorHAnsi" w:hAnsiTheme="majorHAnsi" w:cstheme="majorHAnsi"/>
          <w:lang w:bidi="pt-PT"/>
        </w:rPr>
        <w:t xml:space="preserve">. Paris: UNESCO. </w:t>
      </w:r>
      <w:hyperlink r:id="rId48" w:history="1">
        <w:r w:rsidRPr="00893AA5">
          <w:rPr>
            <w:rStyle w:val="Hyperlink"/>
            <w:rFonts w:asciiTheme="majorHAnsi" w:hAnsiTheme="majorHAnsi" w:cstheme="majorHAnsi"/>
            <w:lang w:bidi="pt-PT"/>
          </w:rPr>
          <w:t>en.unesco.org/</w:t>
        </w:r>
        <w:proofErr w:type="spellStart"/>
        <w:r w:rsidRPr="00893AA5">
          <w:rPr>
            <w:rStyle w:val="Hyperlink"/>
            <w:rFonts w:asciiTheme="majorHAnsi" w:hAnsiTheme="majorHAnsi" w:cstheme="majorHAnsi"/>
            <w:lang w:bidi="pt-PT"/>
          </w:rPr>
          <w:t>gem-report</w:t>
        </w:r>
        <w:proofErr w:type="spellEnd"/>
        <w:r w:rsidRPr="00893AA5">
          <w:rPr>
            <w:rStyle w:val="Hyperlink"/>
            <w:rFonts w:asciiTheme="majorHAnsi" w:hAnsiTheme="majorHAnsi" w:cstheme="majorHAnsi"/>
            <w:lang w:bidi="pt-PT"/>
          </w:rPr>
          <w:t>/</w:t>
        </w:r>
        <w:proofErr w:type="spellStart"/>
        <w:r w:rsidRPr="00893AA5">
          <w:rPr>
            <w:rStyle w:val="Hyperlink"/>
            <w:rFonts w:asciiTheme="majorHAnsi" w:hAnsiTheme="majorHAnsi" w:cstheme="majorHAnsi"/>
            <w:lang w:bidi="pt-PT"/>
          </w:rPr>
          <w:t>report</w:t>
        </w:r>
        <w:proofErr w:type="spellEnd"/>
        <w:r w:rsidRPr="00893AA5">
          <w:rPr>
            <w:rStyle w:val="Hyperlink"/>
            <w:rFonts w:asciiTheme="majorHAnsi" w:hAnsiTheme="majorHAnsi" w:cstheme="majorHAnsi"/>
            <w:lang w:bidi="pt-PT"/>
          </w:rPr>
          <w:t>/2020/</w:t>
        </w:r>
        <w:proofErr w:type="spellStart"/>
        <w:r w:rsidRPr="00893AA5">
          <w:rPr>
            <w:rStyle w:val="Hyperlink"/>
            <w:rFonts w:asciiTheme="majorHAnsi" w:hAnsiTheme="majorHAnsi" w:cstheme="majorHAnsi"/>
            <w:lang w:bidi="pt-PT"/>
          </w:rPr>
          <w:t>inclusion</w:t>
        </w:r>
        <w:proofErr w:type="spellEnd"/>
      </w:hyperlink>
      <w:r w:rsidRPr="00893AA5">
        <w:rPr>
          <w:rFonts w:asciiTheme="majorHAnsi" w:hAnsiTheme="majorHAnsi" w:cstheme="majorHAnsi"/>
          <w:lang w:bidi="pt-PT"/>
        </w:rPr>
        <w:t xml:space="preserve"> (Último acesso em setembro de 2022)</w:t>
      </w:r>
    </w:p>
    <w:sectPr w:rsidR="003B2947" w:rsidRPr="00893AA5"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73A1E" w14:textId="77777777" w:rsidR="00702CA1" w:rsidRDefault="00702CA1">
      <w:r>
        <w:separator/>
      </w:r>
    </w:p>
  </w:endnote>
  <w:endnote w:type="continuationSeparator" w:id="0">
    <w:p w14:paraId="735D4C18" w14:textId="77777777" w:rsidR="00702CA1" w:rsidRDefault="0070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0DE42EFC" w:rsidR="009E6E4D" w:rsidRPr="003B2947" w:rsidRDefault="009E6E4D" w:rsidP="005D5C15">
    <w:pPr>
      <w:framePr w:wrap="around" w:vAnchor="text" w:hAnchor="margin" w:xAlign="outside" w:y="1"/>
      <w:jc w:val="right"/>
      <w:rPr>
        <w:rFonts w:asciiTheme="majorHAnsi" w:hAnsiTheme="majorHAnsi" w:cstheme="majorHAnsi"/>
        <w:szCs w:val="24"/>
      </w:rPr>
    </w:pPr>
    <w:r w:rsidRPr="003B2947">
      <w:rPr>
        <w:rFonts w:asciiTheme="majorHAnsi" w:hAnsiTheme="majorHAnsi" w:cstheme="majorHAnsi"/>
        <w:lang w:bidi="pt-PT"/>
      </w:rPr>
      <w:fldChar w:fldCharType="begin"/>
    </w:r>
    <w:r w:rsidRPr="003B2947">
      <w:rPr>
        <w:rFonts w:asciiTheme="majorHAnsi" w:hAnsiTheme="majorHAnsi" w:cstheme="majorHAnsi"/>
        <w:lang w:bidi="pt-PT"/>
      </w:rPr>
      <w:instrText xml:space="preserve">PAGE  </w:instrText>
    </w:r>
    <w:r w:rsidRPr="003B2947">
      <w:rPr>
        <w:rFonts w:asciiTheme="majorHAnsi" w:hAnsiTheme="majorHAnsi" w:cstheme="majorHAnsi"/>
        <w:lang w:bidi="pt-PT"/>
      </w:rPr>
      <w:fldChar w:fldCharType="separate"/>
    </w:r>
    <w:r w:rsidR="00541F06">
      <w:rPr>
        <w:rFonts w:asciiTheme="majorHAnsi" w:hAnsiTheme="majorHAnsi" w:cstheme="majorHAnsi"/>
        <w:noProof/>
        <w:lang w:bidi="pt-PT"/>
      </w:rPr>
      <w:t>28</w:t>
    </w:r>
    <w:r w:rsidRPr="003B2947">
      <w:rPr>
        <w:rFonts w:asciiTheme="majorHAnsi" w:hAnsiTheme="majorHAnsi" w:cstheme="majorHAnsi"/>
        <w:lang w:bidi="pt-PT"/>
      </w:rPr>
      <w:fldChar w:fldCharType="end"/>
    </w:r>
  </w:p>
  <w:p w14:paraId="42B1793F" w14:textId="1D15D3F6" w:rsidR="009E6E4D" w:rsidRPr="003B2947" w:rsidRDefault="00DD7FBB" w:rsidP="00310724">
    <w:pPr>
      <w:pStyle w:val="Agency-footer"/>
      <w:jc w:val="right"/>
      <w:rPr>
        <w:rFonts w:asciiTheme="majorHAnsi" w:hAnsiTheme="majorHAnsi" w:cstheme="majorHAnsi"/>
      </w:rPr>
    </w:pPr>
    <w:r w:rsidRPr="003B2947">
      <w:rPr>
        <w:rFonts w:asciiTheme="majorHAnsi" w:hAnsiTheme="majorHAnsi" w:cstheme="majorHAnsi"/>
        <w:lang w:bidi="pt-PT"/>
      </w:rPr>
      <w:t>Mudança do papel dos serviços especializados no apoio à educação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A53BFF6" w:rsidR="009E6E4D" w:rsidRPr="003B2947" w:rsidRDefault="009E6E4D" w:rsidP="004A2584">
    <w:pPr>
      <w:framePr w:wrap="around" w:vAnchor="text" w:hAnchor="margin" w:xAlign="outside" w:y="1"/>
      <w:jc w:val="right"/>
      <w:rPr>
        <w:rFonts w:asciiTheme="majorHAnsi" w:hAnsiTheme="majorHAnsi" w:cstheme="majorHAnsi"/>
      </w:rPr>
    </w:pPr>
    <w:r w:rsidRPr="003B2947">
      <w:rPr>
        <w:rFonts w:asciiTheme="majorHAnsi" w:hAnsiTheme="majorHAnsi" w:cstheme="majorHAnsi"/>
        <w:lang w:bidi="pt-PT"/>
      </w:rPr>
      <w:fldChar w:fldCharType="begin"/>
    </w:r>
    <w:r w:rsidRPr="003B2947">
      <w:rPr>
        <w:rFonts w:asciiTheme="majorHAnsi" w:hAnsiTheme="majorHAnsi" w:cstheme="majorHAnsi"/>
        <w:lang w:bidi="pt-PT"/>
      </w:rPr>
      <w:instrText xml:space="preserve">PAGE  </w:instrText>
    </w:r>
    <w:r w:rsidRPr="003B2947">
      <w:rPr>
        <w:rFonts w:asciiTheme="majorHAnsi" w:hAnsiTheme="majorHAnsi" w:cstheme="majorHAnsi"/>
        <w:lang w:bidi="pt-PT"/>
      </w:rPr>
      <w:fldChar w:fldCharType="separate"/>
    </w:r>
    <w:r w:rsidR="00541F06">
      <w:rPr>
        <w:rFonts w:asciiTheme="majorHAnsi" w:hAnsiTheme="majorHAnsi" w:cstheme="majorHAnsi"/>
        <w:noProof/>
        <w:lang w:bidi="pt-PT"/>
      </w:rPr>
      <w:t>7</w:t>
    </w:r>
    <w:r w:rsidRPr="003B2947">
      <w:rPr>
        <w:rFonts w:asciiTheme="majorHAnsi" w:hAnsiTheme="majorHAnsi" w:cstheme="majorHAnsi"/>
        <w:lang w:bidi="pt-PT"/>
      </w:rPr>
      <w:fldChar w:fldCharType="end"/>
    </w:r>
  </w:p>
  <w:p w14:paraId="2D3AD717" w14:textId="4E68271D" w:rsidR="009E6E4D" w:rsidRPr="003B2947" w:rsidRDefault="00DD7FBB" w:rsidP="00EA53FF">
    <w:pPr>
      <w:pStyle w:val="Agency-footer"/>
      <w:rPr>
        <w:rFonts w:asciiTheme="majorHAnsi" w:hAnsiTheme="majorHAnsi" w:cstheme="majorHAnsi"/>
      </w:rPr>
    </w:pPr>
    <w:r w:rsidRPr="003B2947">
      <w:rPr>
        <w:rFonts w:asciiTheme="majorHAnsi" w:hAnsiTheme="majorHAnsi" w:cstheme="majorHAnsi"/>
        <w:lang w:bidi="pt-PT"/>
      </w:rPr>
      <w:t>Ferramenta de autorrevisão de políticas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29667687" w:rsidR="00776FBF" w:rsidRPr="003B2947" w:rsidRDefault="00776FBF" w:rsidP="006C28CE">
    <w:pPr>
      <w:framePr w:wrap="none" w:vAnchor="text" w:hAnchor="margin" w:xAlign="right" w:y="1"/>
      <w:jc w:val="right"/>
      <w:rPr>
        <w:rFonts w:asciiTheme="majorHAnsi" w:hAnsiTheme="majorHAnsi" w:cstheme="majorHAnsi"/>
      </w:rPr>
    </w:pPr>
    <w:r w:rsidRPr="003B2947">
      <w:rPr>
        <w:rFonts w:asciiTheme="majorHAnsi" w:hAnsiTheme="majorHAnsi" w:cstheme="majorHAnsi"/>
        <w:lang w:bidi="pt-PT"/>
      </w:rPr>
      <w:fldChar w:fldCharType="begin"/>
    </w:r>
    <w:r w:rsidRPr="003B2947">
      <w:rPr>
        <w:rFonts w:asciiTheme="majorHAnsi" w:hAnsiTheme="majorHAnsi" w:cstheme="majorHAnsi"/>
        <w:lang w:bidi="pt-PT"/>
      </w:rPr>
      <w:instrText xml:space="preserve">PAGE  </w:instrText>
    </w:r>
    <w:r w:rsidRPr="003B2947">
      <w:rPr>
        <w:rFonts w:asciiTheme="majorHAnsi" w:hAnsiTheme="majorHAnsi" w:cstheme="majorHAnsi"/>
        <w:lang w:bidi="pt-PT"/>
      </w:rPr>
      <w:fldChar w:fldCharType="separate"/>
    </w:r>
    <w:r w:rsidR="00541F06">
      <w:rPr>
        <w:rFonts w:asciiTheme="majorHAnsi" w:hAnsiTheme="majorHAnsi" w:cstheme="majorHAnsi"/>
        <w:noProof/>
        <w:lang w:bidi="pt-PT"/>
      </w:rPr>
      <w:t>27</w:t>
    </w:r>
    <w:r w:rsidRPr="003B2947">
      <w:rPr>
        <w:rFonts w:asciiTheme="majorHAnsi" w:hAnsiTheme="majorHAnsi" w:cstheme="majorHAnsi"/>
        <w:lang w:bidi="pt-PT"/>
      </w:rPr>
      <w:fldChar w:fldCharType="end"/>
    </w:r>
  </w:p>
  <w:p w14:paraId="482DCD87" w14:textId="0CB16518" w:rsidR="00776FBF" w:rsidRPr="003B2947" w:rsidRDefault="00E572CC" w:rsidP="006C28CE">
    <w:pPr>
      <w:pStyle w:val="Agency-footer"/>
      <w:ind w:right="360"/>
      <w:rPr>
        <w:rFonts w:asciiTheme="majorHAnsi" w:hAnsiTheme="majorHAnsi" w:cstheme="majorHAnsi"/>
      </w:rPr>
    </w:pPr>
    <w:r w:rsidRPr="003B2947">
      <w:rPr>
        <w:rFonts w:asciiTheme="majorHAnsi" w:hAnsiTheme="majorHAnsi" w:cstheme="majorHAnsi"/>
        <w:lang w:bidi="pt-PT"/>
      </w:rPr>
      <w:t>Ferramenta de autorrevisão de políticas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6B903" w14:textId="77777777" w:rsidR="00702CA1" w:rsidRDefault="00702CA1">
      <w:r>
        <w:separator/>
      </w:r>
    </w:p>
  </w:footnote>
  <w:footnote w:type="continuationSeparator" w:id="0">
    <w:p w14:paraId="264E5608" w14:textId="77777777" w:rsidR="00702CA1" w:rsidRDefault="00702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75977782">
    <w:abstractNumId w:val="34"/>
  </w:num>
  <w:num w:numId="2" w16cid:durableId="1101560452">
    <w:abstractNumId w:val="40"/>
  </w:num>
  <w:num w:numId="3" w16cid:durableId="553658016">
    <w:abstractNumId w:val="15"/>
  </w:num>
  <w:num w:numId="4" w16cid:durableId="2009944273">
    <w:abstractNumId w:val="46"/>
  </w:num>
  <w:num w:numId="5" w16cid:durableId="1049838348">
    <w:abstractNumId w:val="11"/>
  </w:num>
  <w:num w:numId="6" w16cid:durableId="1315262587">
    <w:abstractNumId w:val="12"/>
  </w:num>
  <w:num w:numId="7" w16cid:durableId="918948379">
    <w:abstractNumId w:val="13"/>
  </w:num>
  <w:num w:numId="8" w16cid:durableId="149837126">
    <w:abstractNumId w:val="41"/>
  </w:num>
  <w:num w:numId="9" w16cid:durableId="1855025231">
    <w:abstractNumId w:val="38"/>
  </w:num>
  <w:num w:numId="10" w16cid:durableId="128017605">
    <w:abstractNumId w:val="23"/>
  </w:num>
  <w:num w:numId="11" w16cid:durableId="1358628462">
    <w:abstractNumId w:val="20"/>
  </w:num>
  <w:num w:numId="12" w16cid:durableId="1625883896">
    <w:abstractNumId w:val="35"/>
  </w:num>
  <w:num w:numId="13" w16cid:durableId="1703020756">
    <w:abstractNumId w:val="26"/>
  </w:num>
  <w:num w:numId="14" w16cid:durableId="2053846795">
    <w:abstractNumId w:val="42"/>
  </w:num>
  <w:num w:numId="15" w16cid:durableId="2005015142">
    <w:abstractNumId w:val="17"/>
  </w:num>
  <w:num w:numId="16" w16cid:durableId="455833735">
    <w:abstractNumId w:val="44"/>
  </w:num>
  <w:num w:numId="17" w16cid:durableId="937372107">
    <w:abstractNumId w:val="21"/>
  </w:num>
  <w:num w:numId="18" w16cid:durableId="2076006739">
    <w:abstractNumId w:val="27"/>
  </w:num>
  <w:num w:numId="19" w16cid:durableId="753938176">
    <w:abstractNumId w:val="32"/>
  </w:num>
  <w:num w:numId="20" w16cid:durableId="1022168667">
    <w:abstractNumId w:val="30"/>
  </w:num>
  <w:num w:numId="21" w16cid:durableId="192228602">
    <w:abstractNumId w:val="22"/>
  </w:num>
  <w:num w:numId="22" w16cid:durableId="684094881">
    <w:abstractNumId w:val="37"/>
  </w:num>
  <w:num w:numId="23" w16cid:durableId="2089225139">
    <w:abstractNumId w:val="48"/>
  </w:num>
  <w:num w:numId="24" w16cid:durableId="342170769">
    <w:abstractNumId w:val="25"/>
  </w:num>
  <w:num w:numId="25" w16cid:durableId="377629888">
    <w:abstractNumId w:val="0"/>
  </w:num>
  <w:num w:numId="26" w16cid:durableId="709181661">
    <w:abstractNumId w:val="10"/>
  </w:num>
  <w:num w:numId="27" w16cid:durableId="191184956">
    <w:abstractNumId w:val="8"/>
  </w:num>
  <w:num w:numId="28" w16cid:durableId="295064680">
    <w:abstractNumId w:val="7"/>
  </w:num>
  <w:num w:numId="29" w16cid:durableId="642540479">
    <w:abstractNumId w:val="6"/>
  </w:num>
  <w:num w:numId="30" w16cid:durableId="1925726089">
    <w:abstractNumId w:val="5"/>
  </w:num>
  <w:num w:numId="31" w16cid:durableId="1312446654">
    <w:abstractNumId w:val="9"/>
  </w:num>
  <w:num w:numId="32" w16cid:durableId="357463629">
    <w:abstractNumId w:val="4"/>
  </w:num>
  <w:num w:numId="33" w16cid:durableId="901788438">
    <w:abstractNumId w:val="3"/>
  </w:num>
  <w:num w:numId="34" w16cid:durableId="782532454">
    <w:abstractNumId w:val="2"/>
  </w:num>
  <w:num w:numId="35" w16cid:durableId="1441415704">
    <w:abstractNumId w:val="1"/>
  </w:num>
  <w:num w:numId="36" w16cid:durableId="148450403">
    <w:abstractNumId w:val="19"/>
  </w:num>
  <w:num w:numId="37" w16cid:durableId="110898894">
    <w:abstractNumId w:val="36"/>
  </w:num>
  <w:num w:numId="38" w16cid:durableId="1860896700">
    <w:abstractNumId w:val="16"/>
  </w:num>
  <w:num w:numId="39" w16cid:durableId="1668050391">
    <w:abstractNumId w:val="29"/>
  </w:num>
  <w:num w:numId="40" w16cid:durableId="1193612726">
    <w:abstractNumId w:val="18"/>
  </w:num>
  <w:num w:numId="41" w16cid:durableId="1611888268">
    <w:abstractNumId w:val="45"/>
  </w:num>
  <w:num w:numId="42" w16cid:durableId="1654219173">
    <w:abstractNumId w:val="47"/>
  </w:num>
  <w:num w:numId="43" w16cid:durableId="1970234282">
    <w:abstractNumId w:val="39"/>
  </w:num>
  <w:num w:numId="44" w16cid:durableId="1614172236">
    <w:abstractNumId w:val="43"/>
  </w:num>
  <w:num w:numId="45" w16cid:durableId="546837976">
    <w:abstractNumId w:val="31"/>
  </w:num>
  <w:num w:numId="46" w16cid:durableId="35203619">
    <w:abstractNumId w:val="24"/>
  </w:num>
  <w:num w:numId="47" w16cid:durableId="772869126">
    <w:abstractNumId w:val="33"/>
  </w:num>
  <w:num w:numId="48" w16cid:durableId="2066634231">
    <w:abstractNumId w:val="14"/>
  </w:num>
  <w:num w:numId="49" w16cid:durableId="14011755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2791"/>
    <w:rsid w:val="00077E1F"/>
    <w:rsid w:val="00080BFB"/>
    <w:rsid w:val="00083933"/>
    <w:rsid w:val="00096A3D"/>
    <w:rsid w:val="000A5EE7"/>
    <w:rsid w:val="000A7FAE"/>
    <w:rsid w:val="000B0500"/>
    <w:rsid w:val="000B1F72"/>
    <w:rsid w:val="000B35DF"/>
    <w:rsid w:val="000B4F5A"/>
    <w:rsid w:val="000C64AD"/>
    <w:rsid w:val="000C765B"/>
    <w:rsid w:val="000D1BFB"/>
    <w:rsid w:val="000D7C21"/>
    <w:rsid w:val="000E08E0"/>
    <w:rsid w:val="000E1AAE"/>
    <w:rsid w:val="000E2F2A"/>
    <w:rsid w:val="000E4E8A"/>
    <w:rsid w:val="000F21AC"/>
    <w:rsid w:val="000F7CC5"/>
    <w:rsid w:val="00101CFD"/>
    <w:rsid w:val="001031C2"/>
    <w:rsid w:val="001038D4"/>
    <w:rsid w:val="00105B69"/>
    <w:rsid w:val="0010716E"/>
    <w:rsid w:val="00111E52"/>
    <w:rsid w:val="00125AEB"/>
    <w:rsid w:val="0012684E"/>
    <w:rsid w:val="00132650"/>
    <w:rsid w:val="00137A44"/>
    <w:rsid w:val="001415AF"/>
    <w:rsid w:val="00142C72"/>
    <w:rsid w:val="001437F1"/>
    <w:rsid w:val="001515D5"/>
    <w:rsid w:val="00154587"/>
    <w:rsid w:val="001564BE"/>
    <w:rsid w:val="00160C89"/>
    <w:rsid w:val="00164612"/>
    <w:rsid w:val="00165FE3"/>
    <w:rsid w:val="00174A0C"/>
    <w:rsid w:val="0017526F"/>
    <w:rsid w:val="001839E0"/>
    <w:rsid w:val="00185901"/>
    <w:rsid w:val="001859D8"/>
    <w:rsid w:val="00187C9A"/>
    <w:rsid w:val="00192B96"/>
    <w:rsid w:val="001A3B70"/>
    <w:rsid w:val="001A545F"/>
    <w:rsid w:val="001B1410"/>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97664"/>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57FF"/>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3FA0"/>
    <w:rsid w:val="00375FD6"/>
    <w:rsid w:val="00380519"/>
    <w:rsid w:val="0038423D"/>
    <w:rsid w:val="00385847"/>
    <w:rsid w:val="00394763"/>
    <w:rsid w:val="003A0F85"/>
    <w:rsid w:val="003A1FA0"/>
    <w:rsid w:val="003A359A"/>
    <w:rsid w:val="003A44AC"/>
    <w:rsid w:val="003B2947"/>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33E7C"/>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05BA1"/>
    <w:rsid w:val="00510735"/>
    <w:rsid w:val="0051463D"/>
    <w:rsid w:val="00517B46"/>
    <w:rsid w:val="0052156A"/>
    <w:rsid w:val="005319B5"/>
    <w:rsid w:val="00534D20"/>
    <w:rsid w:val="00541F06"/>
    <w:rsid w:val="00543895"/>
    <w:rsid w:val="00543E0F"/>
    <w:rsid w:val="00555582"/>
    <w:rsid w:val="00555E51"/>
    <w:rsid w:val="0055786D"/>
    <w:rsid w:val="00564356"/>
    <w:rsid w:val="00566F1A"/>
    <w:rsid w:val="00575480"/>
    <w:rsid w:val="005770C4"/>
    <w:rsid w:val="00580C57"/>
    <w:rsid w:val="00581BFC"/>
    <w:rsid w:val="00582AC6"/>
    <w:rsid w:val="0058542F"/>
    <w:rsid w:val="00585D73"/>
    <w:rsid w:val="005877D0"/>
    <w:rsid w:val="00591FE3"/>
    <w:rsid w:val="00592B5E"/>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140BD"/>
    <w:rsid w:val="00621A55"/>
    <w:rsid w:val="006250EF"/>
    <w:rsid w:val="00630271"/>
    <w:rsid w:val="006334B8"/>
    <w:rsid w:val="0063521A"/>
    <w:rsid w:val="00635C0D"/>
    <w:rsid w:val="00643BD6"/>
    <w:rsid w:val="006452A1"/>
    <w:rsid w:val="00647407"/>
    <w:rsid w:val="00650CC2"/>
    <w:rsid w:val="00651FD2"/>
    <w:rsid w:val="00653129"/>
    <w:rsid w:val="006534D2"/>
    <w:rsid w:val="0065368C"/>
    <w:rsid w:val="006630CA"/>
    <w:rsid w:val="00664224"/>
    <w:rsid w:val="00664EEE"/>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2CA1"/>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1D80"/>
    <w:rsid w:val="00864818"/>
    <w:rsid w:val="00865D1B"/>
    <w:rsid w:val="008669CF"/>
    <w:rsid w:val="00867005"/>
    <w:rsid w:val="0086768F"/>
    <w:rsid w:val="0087477E"/>
    <w:rsid w:val="00886875"/>
    <w:rsid w:val="00893AA5"/>
    <w:rsid w:val="0089408B"/>
    <w:rsid w:val="0089455A"/>
    <w:rsid w:val="008A2889"/>
    <w:rsid w:val="008B24CF"/>
    <w:rsid w:val="008B29C7"/>
    <w:rsid w:val="008B36F5"/>
    <w:rsid w:val="008B53E0"/>
    <w:rsid w:val="008B564A"/>
    <w:rsid w:val="008C0901"/>
    <w:rsid w:val="008C3AE8"/>
    <w:rsid w:val="008C5777"/>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68DC"/>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D27EC"/>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77972"/>
    <w:rsid w:val="00C80F00"/>
    <w:rsid w:val="00C81195"/>
    <w:rsid w:val="00C84C67"/>
    <w:rsid w:val="00C87218"/>
    <w:rsid w:val="00C930EB"/>
    <w:rsid w:val="00C94196"/>
    <w:rsid w:val="00C964F3"/>
    <w:rsid w:val="00CA315A"/>
    <w:rsid w:val="00CA6BB5"/>
    <w:rsid w:val="00CB2ACB"/>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3A6D"/>
    <w:rsid w:val="00D040F7"/>
    <w:rsid w:val="00D06009"/>
    <w:rsid w:val="00D07135"/>
    <w:rsid w:val="00D10767"/>
    <w:rsid w:val="00D15A56"/>
    <w:rsid w:val="00D1763F"/>
    <w:rsid w:val="00D178A8"/>
    <w:rsid w:val="00D21E23"/>
    <w:rsid w:val="00D22260"/>
    <w:rsid w:val="00D232FA"/>
    <w:rsid w:val="00D25C1B"/>
    <w:rsid w:val="00D31607"/>
    <w:rsid w:val="00D34F24"/>
    <w:rsid w:val="00D37E0B"/>
    <w:rsid w:val="00D414B5"/>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21B30"/>
    <w:rsid w:val="00F22BD9"/>
    <w:rsid w:val="00F25E80"/>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10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resources/publications/analysis-framework-mapping-inclusive-education-policies"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www.cast.org/impact/universal-design-for-learning-ud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www.udlcenter.org/aboutudl" TargetMode="External"/><Relationship Id="rId35" Type="http://schemas.openxmlformats.org/officeDocument/2006/relationships/hyperlink" Target="https://www.edglossary.org/professional-learning-community/"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s://unesdoc.unesco.org/ark:/48223/pf0000373718"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E7FDB598-C0EE-4E3A-9F42-151ADA839166}">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579C0FAE-4BF8-4C58-B821-55FC297C7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6326</Words>
  <Characters>39350</Characters>
  <Application>Microsoft Office Word</Application>
  <DocSecurity>0</DocSecurity>
  <Lines>1311</Lines>
  <Paragraphs>470</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45206</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Mudança do papel dos serviços especializados no apoio à educação inclusiva: Ferramenta de autorrevisão de políticas</dc:title>
  <dc:subject>Changing Role of Specialist Provision in Supporting Inclusive Education (CROSP)</dc:subject>
  <dc:creator>European Agency for Special Needs and Inclusive Education</dc:creator>
  <cp:keywords>EASNIE</cp:keywords>
  <dc:description/>
  <cp:lastModifiedBy>Áine Wynne</cp:lastModifiedBy>
  <cp:revision>33</cp:revision>
  <cp:lastPrinted>2009-05-04T16:34:00Z</cp:lastPrinted>
  <dcterms:created xsi:type="dcterms:W3CDTF">2023-02-15T14:19:00Z</dcterms:created>
  <dcterms:modified xsi:type="dcterms:W3CDTF">2023-02-24T14:51:00Z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