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11B56A" w14:textId="06F20550" w:rsidR="00887819" w:rsidRPr="00584CEA" w:rsidRDefault="00887819" w:rsidP="00887819">
      <w:pPr>
        <w:pStyle w:val="Agency-heading-1"/>
        <w:rPr>
          <w:rStyle w:val="normaltextrun"/>
          <w:rFonts w:cs="Calibri"/>
        </w:rPr>
      </w:pPr>
      <w:bookmarkStart w:id="0" w:name="_Toc117854279"/>
      <w:r w:rsidRPr="00584CEA">
        <w:rPr>
          <w:rStyle w:val="normaltextrun"/>
          <w:rFonts w:cs="Calibri"/>
        </w:rPr>
        <w:t>Annex 2: Additional Resources</w:t>
      </w:r>
      <w:bookmarkEnd w:id="0"/>
    </w:p>
    <w:p w14:paraId="0DC28F7A" w14:textId="67E33B1A" w:rsidR="00887819" w:rsidRPr="00584CEA" w:rsidRDefault="00887819" w:rsidP="00887819">
      <w:pPr>
        <w:pStyle w:val="Agency-body-text"/>
      </w:pPr>
      <w:r w:rsidRPr="00584CEA">
        <w:t xml:space="preserve">This document </w:t>
      </w:r>
      <w:r w:rsidR="28870DBA" w:rsidRPr="00584CEA">
        <w:t>presents</w:t>
      </w:r>
      <w:r w:rsidRPr="00584CEA">
        <w:t xml:space="preserve"> additional resources which could be useful in supporting the implementation of recommendations and actions related to the 7 standards. </w:t>
      </w:r>
    </w:p>
    <w:p w14:paraId="27B83F51" w14:textId="520B4C04" w:rsidR="00887819" w:rsidRPr="00584CEA" w:rsidRDefault="00887819" w:rsidP="00887819">
      <w:pPr>
        <w:pStyle w:val="Agency-body-text"/>
      </w:pPr>
      <w:r w:rsidRPr="00584CEA">
        <w:t xml:space="preserve">For each resource a brief description and link is shared. </w:t>
      </w:r>
    </w:p>
    <w:p w14:paraId="16700CD3" w14:textId="6D1EB984" w:rsidR="00887819" w:rsidRDefault="00887819" w:rsidP="00887819">
      <w:pPr>
        <w:pStyle w:val="Agency-body-text"/>
      </w:pPr>
      <w:r w:rsidRPr="00584CEA">
        <w:t>This document cannot cover all available resources</w:t>
      </w:r>
      <w:r w:rsidR="383E5F5C" w:rsidRPr="00584CEA">
        <w:t>;</w:t>
      </w:r>
      <w:r w:rsidRPr="00584CEA">
        <w:t xml:space="preserve"> </w:t>
      </w:r>
      <w:r w:rsidR="00ED6D21" w:rsidRPr="00584CEA">
        <w:t>however</w:t>
      </w:r>
      <w:r w:rsidR="00070141">
        <w:t>,</w:t>
      </w:r>
      <w:r w:rsidR="00ED6D21" w:rsidRPr="00584CEA">
        <w:t xml:space="preserve"> it</w:t>
      </w:r>
      <w:r w:rsidRPr="00584CEA">
        <w:t xml:space="preserve"> aims to share </w:t>
      </w:r>
      <w:r w:rsidR="032B2FC7" w:rsidRPr="00584CEA">
        <w:t xml:space="preserve">information from </w:t>
      </w:r>
      <w:r w:rsidRPr="00584CEA">
        <w:t xml:space="preserve">previous Agency work which has been developed through </w:t>
      </w:r>
      <w:r w:rsidR="5EA65645" w:rsidRPr="00584CEA">
        <w:t>work with</w:t>
      </w:r>
      <w:r w:rsidRPr="00584CEA">
        <w:t xml:space="preserve"> up to 31 Agency </w:t>
      </w:r>
      <w:r w:rsidR="58ED8DF0" w:rsidRPr="00584CEA">
        <w:t>member countr</w:t>
      </w:r>
      <w:r w:rsidR="7668B7BA" w:rsidRPr="00584CEA">
        <w:t>ies</w:t>
      </w:r>
      <w:r w:rsidRPr="00584CEA">
        <w:t>.</w:t>
      </w:r>
    </w:p>
    <w:p w14:paraId="4B60D6CA" w14:textId="4785A52E" w:rsidR="00500114" w:rsidRPr="00BC0A44" w:rsidRDefault="00500114">
      <w:pPr>
        <w:pStyle w:val="TOC1"/>
        <w:tabs>
          <w:tab w:val="right" w:leader="dot" w:pos="8827"/>
        </w:tabs>
        <w:rPr>
          <w:rFonts w:asciiTheme="minorHAnsi" w:eastAsiaTheme="minorEastAsia" w:hAnsiTheme="minorHAnsi" w:cstheme="minorBidi"/>
          <w:b w:val="0"/>
          <w:caps w:val="0"/>
          <w:noProof/>
          <w:sz w:val="24"/>
          <w:lang w:val="en-ES" w:eastAsia="en-GB"/>
        </w:rPr>
      </w:pPr>
      <w:r w:rsidRPr="00BC0A44">
        <w:rPr>
          <w:sz w:val="24"/>
        </w:rPr>
        <w:fldChar w:fldCharType="begin"/>
      </w:r>
      <w:r w:rsidRPr="00BC0A44">
        <w:rPr>
          <w:sz w:val="24"/>
        </w:rPr>
        <w:instrText xml:space="preserve"> TOC \o "1-3" \h \z \u </w:instrText>
      </w:r>
      <w:r w:rsidRPr="00BC0A44">
        <w:rPr>
          <w:sz w:val="24"/>
        </w:rPr>
        <w:fldChar w:fldCharType="separate"/>
      </w:r>
      <w:hyperlink w:anchor="_Toc117854279" w:history="1"/>
    </w:p>
    <w:p w14:paraId="5D1CD966" w14:textId="7B9C951C" w:rsidR="00500114" w:rsidRPr="00BC0A44" w:rsidRDefault="00500114">
      <w:pPr>
        <w:pStyle w:val="TOC2"/>
        <w:tabs>
          <w:tab w:val="right" w:leader="dot" w:pos="8827"/>
        </w:tabs>
        <w:rPr>
          <w:rFonts w:asciiTheme="minorHAnsi" w:eastAsiaTheme="minorEastAsia" w:hAnsiTheme="minorHAnsi" w:cstheme="minorBidi"/>
          <w:noProof/>
          <w:sz w:val="24"/>
          <w:szCs w:val="24"/>
          <w:lang w:val="en-ES" w:eastAsia="en-GB"/>
        </w:rPr>
      </w:pPr>
      <w:hyperlink w:anchor="_Toc117854280" w:history="1">
        <w:r w:rsidRPr="00BC0A44">
          <w:rPr>
            <w:rStyle w:val="Hyperlink"/>
            <w:rFonts w:cs="Calibri"/>
            <w:noProof/>
            <w:sz w:val="24"/>
            <w:szCs w:val="24"/>
          </w:rPr>
          <w:t>Attitudes and perceptions towards inclusive education</w:t>
        </w:r>
        <w:r w:rsidRPr="00BC0A44">
          <w:rPr>
            <w:noProof/>
            <w:webHidden/>
            <w:sz w:val="24"/>
            <w:szCs w:val="24"/>
          </w:rPr>
          <w:tab/>
        </w:r>
        <w:r w:rsidRPr="00BC0A44">
          <w:rPr>
            <w:noProof/>
            <w:webHidden/>
            <w:sz w:val="24"/>
            <w:szCs w:val="24"/>
          </w:rPr>
          <w:fldChar w:fldCharType="begin"/>
        </w:r>
        <w:r w:rsidRPr="00BC0A44">
          <w:rPr>
            <w:noProof/>
            <w:webHidden/>
            <w:sz w:val="24"/>
            <w:szCs w:val="24"/>
          </w:rPr>
          <w:instrText xml:space="preserve"> PAGEREF _Toc117854280 \h </w:instrText>
        </w:r>
        <w:r w:rsidRPr="00BC0A44">
          <w:rPr>
            <w:noProof/>
            <w:webHidden/>
            <w:sz w:val="24"/>
            <w:szCs w:val="24"/>
          </w:rPr>
        </w:r>
        <w:r w:rsidRPr="00BC0A44">
          <w:rPr>
            <w:noProof/>
            <w:webHidden/>
            <w:sz w:val="24"/>
            <w:szCs w:val="24"/>
          </w:rPr>
          <w:fldChar w:fldCharType="separate"/>
        </w:r>
        <w:r w:rsidRPr="00BC0A44">
          <w:rPr>
            <w:noProof/>
            <w:webHidden/>
            <w:sz w:val="24"/>
            <w:szCs w:val="24"/>
          </w:rPr>
          <w:t>1</w:t>
        </w:r>
        <w:r w:rsidRPr="00BC0A44">
          <w:rPr>
            <w:noProof/>
            <w:webHidden/>
            <w:sz w:val="24"/>
            <w:szCs w:val="24"/>
          </w:rPr>
          <w:fldChar w:fldCharType="end"/>
        </w:r>
      </w:hyperlink>
    </w:p>
    <w:p w14:paraId="36CD0BFA" w14:textId="6D2C0B46" w:rsidR="00500114" w:rsidRPr="00BC0A44" w:rsidRDefault="00500114">
      <w:pPr>
        <w:pStyle w:val="TOC2"/>
        <w:tabs>
          <w:tab w:val="right" w:leader="dot" w:pos="8827"/>
        </w:tabs>
        <w:rPr>
          <w:rFonts w:asciiTheme="minorHAnsi" w:eastAsiaTheme="minorEastAsia" w:hAnsiTheme="minorHAnsi" w:cstheme="minorBidi"/>
          <w:noProof/>
          <w:sz w:val="24"/>
          <w:szCs w:val="24"/>
          <w:lang w:val="en-ES" w:eastAsia="en-GB"/>
        </w:rPr>
      </w:pPr>
      <w:hyperlink w:anchor="_Toc117854281" w:history="1">
        <w:r w:rsidRPr="00BC0A44">
          <w:rPr>
            <w:rStyle w:val="Hyperlink"/>
            <w:rFonts w:cs="Calibri"/>
            <w:noProof/>
            <w:sz w:val="24"/>
            <w:szCs w:val="24"/>
          </w:rPr>
          <w:t>System capacity building</w:t>
        </w:r>
        <w:r w:rsidRPr="00BC0A44">
          <w:rPr>
            <w:noProof/>
            <w:webHidden/>
            <w:sz w:val="24"/>
            <w:szCs w:val="24"/>
          </w:rPr>
          <w:tab/>
        </w:r>
        <w:r w:rsidRPr="00BC0A44">
          <w:rPr>
            <w:noProof/>
            <w:webHidden/>
            <w:sz w:val="24"/>
            <w:szCs w:val="24"/>
          </w:rPr>
          <w:fldChar w:fldCharType="begin"/>
        </w:r>
        <w:r w:rsidRPr="00BC0A44">
          <w:rPr>
            <w:noProof/>
            <w:webHidden/>
            <w:sz w:val="24"/>
            <w:szCs w:val="24"/>
          </w:rPr>
          <w:instrText xml:space="preserve"> PAGEREF _Toc117854281 \h </w:instrText>
        </w:r>
        <w:r w:rsidRPr="00BC0A44">
          <w:rPr>
            <w:noProof/>
            <w:webHidden/>
            <w:sz w:val="24"/>
            <w:szCs w:val="24"/>
          </w:rPr>
        </w:r>
        <w:r w:rsidRPr="00BC0A44">
          <w:rPr>
            <w:noProof/>
            <w:webHidden/>
            <w:sz w:val="24"/>
            <w:szCs w:val="24"/>
          </w:rPr>
          <w:fldChar w:fldCharType="separate"/>
        </w:r>
        <w:r w:rsidRPr="00BC0A44">
          <w:rPr>
            <w:noProof/>
            <w:webHidden/>
            <w:sz w:val="24"/>
            <w:szCs w:val="24"/>
          </w:rPr>
          <w:t>2</w:t>
        </w:r>
        <w:r w:rsidRPr="00BC0A44">
          <w:rPr>
            <w:noProof/>
            <w:webHidden/>
            <w:sz w:val="24"/>
            <w:szCs w:val="24"/>
          </w:rPr>
          <w:fldChar w:fldCharType="end"/>
        </w:r>
      </w:hyperlink>
    </w:p>
    <w:p w14:paraId="73513B33" w14:textId="26566DAD" w:rsidR="00500114" w:rsidRPr="00BC0A44" w:rsidRDefault="00500114">
      <w:pPr>
        <w:pStyle w:val="TOC2"/>
        <w:tabs>
          <w:tab w:val="right" w:leader="dot" w:pos="8827"/>
        </w:tabs>
        <w:rPr>
          <w:rFonts w:asciiTheme="minorHAnsi" w:eastAsiaTheme="minorEastAsia" w:hAnsiTheme="minorHAnsi" w:cstheme="minorBidi"/>
          <w:noProof/>
          <w:sz w:val="24"/>
          <w:szCs w:val="24"/>
          <w:lang w:val="en-ES" w:eastAsia="en-GB"/>
        </w:rPr>
      </w:pPr>
      <w:hyperlink w:anchor="_Toc117854282" w:history="1">
        <w:r w:rsidRPr="00BC0A44">
          <w:rPr>
            <w:rStyle w:val="Hyperlink"/>
            <w:noProof/>
            <w:sz w:val="24"/>
            <w:szCs w:val="24"/>
          </w:rPr>
          <w:t>Funding models</w:t>
        </w:r>
        <w:r w:rsidRPr="00BC0A44">
          <w:rPr>
            <w:noProof/>
            <w:webHidden/>
            <w:sz w:val="24"/>
            <w:szCs w:val="24"/>
          </w:rPr>
          <w:tab/>
        </w:r>
        <w:r w:rsidRPr="00BC0A44">
          <w:rPr>
            <w:noProof/>
            <w:webHidden/>
            <w:sz w:val="24"/>
            <w:szCs w:val="24"/>
          </w:rPr>
          <w:fldChar w:fldCharType="begin"/>
        </w:r>
        <w:r w:rsidRPr="00BC0A44">
          <w:rPr>
            <w:noProof/>
            <w:webHidden/>
            <w:sz w:val="24"/>
            <w:szCs w:val="24"/>
          </w:rPr>
          <w:instrText xml:space="preserve"> PAGEREF _Toc117854282 \h </w:instrText>
        </w:r>
        <w:r w:rsidRPr="00BC0A44">
          <w:rPr>
            <w:noProof/>
            <w:webHidden/>
            <w:sz w:val="24"/>
            <w:szCs w:val="24"/>
          </w:rPr>
        </w:r>
        <w:r w:rsidRPr="00BC0A44">
          <w:rPr>
            <w:noProof/>
            <w:webHidden/>
            <w:sz w:val="24"/>
            <w:szCs w:val="24"/>
          </w:rPr>
          <w:fldChar w:fldCharType="separate"/>
        </w:r>
        <w:r w:rsidRPr="00BC0A44">
          <w:rPr>
            <w:noProof/>
            <w:webHidden/>
            <w:sz w:val="24"/>
            <w:szCs w:val="24"/>
          </w:rPr>
          <w:t>3</w:t>
        </w:r>
        <w:r w:rsidRPr="00BC0A44">
          <w:rPr>
            <w:noProof/>
            <w:webHidden/>
            <w:sz w:val="24"/>
            <w:szCs w:val="24"/>
          </w:rPr>
          <w:fldChar w:fldCharType="end"/>
        </w:r>
      </w:hyperlink>
    </w:p>
    <w:p w14:paraId="0E591B60" w14:textId="488F9BC6" w:rsidR="00500114" w:rsidRPr="00BC0A44" w:rsidRDefault="00500114">
      <w:pPr>
        <w:pStyle w:val="TOC2"/>
        <w:tabs>
          <w:tab w:val="right" w:leader="dot" w:pos="8827"/>
        </w:tabs>
        <w:rPr>
          <w:rFonts w:asciiTheme="minorHAnsi" w:eastAsiaTheme="minorEastAsia" w:hAnsiTheme="minorHAnsi" w:cstheme="minorBidi"/>
          <w:noProof/>
          <w:sz w:val="24"/>
          <w:szCs w:val="24"/>
          <w:lang w:val="en-ES" w:eastAsia="en-GB"/>
        </w:rPr>
      </w:pPr>
      <w:hyperlink w:anchor="_Toc117854283" w:history="1">
        <w:r w:rsidRPr="00BC0A44">
          <w:rPr>
            <w:rStyle w:val="Hyperlink"/>
            <w:rFonts w:cs="Calibri"/>
            <w:noProof/>
            <w:sz w:val="24"/>
            <w:szCs w:val="24"/>
          </w:rPr>
          <w:t>Monitoring, quality assurance and accountability</w:t>
        </w:r>
        <w:r w:rsidRPr="00BC0A44">
          <w:rPr>
            <w:noProof/>
            <w:webHidden/>
            <w:sz w:val="24"/>
            <w:szCs w:val="24"/>
          </w:rPr>
          <w:tab/>
        </w:r>
        <w:r w:rsidRPr="00BC0A44">
          <w:rPr>
            <w:noProof/>
            <w:webHidden/>
            <w:sz w:val="24"/>
            <w:szCs w:val="24"/>
          </w:rPr>
          <w:fldChar w:fldCharType="begin"/>
        </w:r>
        <w:r w:rsidRPr="00BC0A44">
          <w:rPr>
            <w:noProof/>
            <w:webHidden/>
            <w:sz w:val="24"/>
            <w:szCs w:val="24"/>
          </w:rPr>
          <w:instrText xml:space="preserve"> PAGEREF _Toc117854283 \h </w:instrText>
        </w:r>
        <w:r w:rsidRPr="00BC0A44">
          <w:rPr>
            <w:noProof/>
            <w:webHidden/>
            <w:sz w:val="24"/>
            <w:szCs w:val="24"/>
          </w:rPr>
        </w:r>
        <w:r w:rsidRPr="00BC0A44">
          <w:rPr>
            <w:noProof/>
            <w:webHidden/>
            <w:sz w:val="24"/>
            <w:szCs w:val="24"/>
          </w:rPr>
          <w:fldChar w:fldCharType="separate"/>
        </w:r>
        <w:r w:rsidRPr="00BC0A44">
          <w:rPr>
            <w:noProof/>
            <w:webHidden/>
            <w:sz w:val="24"/>
            <w:szCs w:val="24"/>
          </w:rPr>
          <w:t>4</w:t>
        </w:r>
        <w:r w:rsidRPr="00BC0A44">
          <w:rPr>
            <w:noProof/>
            <w:webHidden/>
            <w:sz w:val="24"/>
            <w:szCs w:val="24"/>
          </w:rPr>
          <w:fldChar w:fldCharType="end"/>
        </w:r>
      </w:hyperlink>
    </w:p>
    <w:p w14:paraId="0B7BF17E" w14:textId="6B5BDDFD" w:rsidR="00500114" w:rsidRPr="00BC0A44" w:rsidRDefault="00500114">
      <w:pPr>
        <w:pStyle w:val="TOC2"/>
        <w:tabs>
          <w:tab w:val="right" w:leader="dot" w:pos="8827"/>
        </w:tabs>
        <w:rPr>
          <w:rFonts w:asciiTheme="minorHAnsi" w:eastAsiaTheme="minorEastAsia" w:hAnsiTheme="minorHAnsi" w:cstheme="minorBidi"/>
          <w:noProof/>
          <w:sz w:val="24"/>
          <w:szCs w:val="24"/>
          <w:lang w:val="en-ES" w:eastAsia="en-GB"/>
        </w:rPr>
      </w:pPr>
      <w:hyperlink w:anchor="_Toc117854284" w:history="1">
        <w:r w:rsidRPr="00BC0A44">
          <w:rPr>
            <w:rStyle w:val="Hyperlink"/>
            <w:noProof/>
            <w:sz w:val="24"/>
            <w:szCs w:val="24"/>
          </w:rPr>
          <w:t>Professional development</w:t>
        </w:r>
        <w:r w:rsidRPr="00BC0A44">
          <w:rPr>
            <w:noProof/>
            <w:webHidden/>
            <w:sz w:val="24"/>
            <w:szCs w:val="24"/>
          </w:rPr>
          <w:tab/>
        </w:r>
        <w:r w:rsidRPr="00BC0A44">
          <w:rPr>
            <w:noProof/>
            <w:webHidden/>
            <w:sz w:val="24"/>
            <w:szCs w:val="24"/>
          </w:rPr>
          <w:fldChar w:fldCharType="begin"/>
        </w:r>
        <w:r w:rsidRPr="00BC0A44">
          <w:rPr>
            <w:noProof/>
            <w:webHidden/>
            <w:sz w:val="24"/>
            <w:szCs w:val="24"/>
          </w:rPr>
          <w:instrText xml:space="preserve"> PAGEREF _Toc117854284 \h </w:instrText>
        </w:r>
        <w:r w:rsidRPr="00BC0A44">
          <w:rPr>
            <w:noProof/>
            <w:webHidden/>
            <w:sz w:val="24"/>
            <w:szCs w:val="24"/>
          </w:rPr>
        </w:r>
        <w:r w:rsidRPr="00BC0A44">
          <w:rPr>
            <w:noProof/>
            <w:webHidden/>
            <w:sz w:val="24"/>
            <w:szCs w:val="24"/>
          </w:rPr>
          <w:fldChar w:fldCharType="separate"/>
        </w:r>
        <w:r w:rsidRPr="00BC0A44">
          <w:rPr>
            <w:noProof/>
            <w:webHidden/>
            <w:sz w:val="24"/>
            <w:szCs w:val="24"/>
          </w:rPr>
          <w:t>5</w:t>
        </w:r>
        <w:r w:rsidRPr="00BC0A44">
          <w:rPr>
            <w:noProof/>
            <w:webHidden/>
            <w:sz w:val="24"/>
            <w:szCs w:val="24"/>
          </w:rPr>
          <w:fldChar w:fldCharType="end"/>
        </w:r>
      </w:hyperlink>
    </w:p>
    <w:p w14:paraId="2CEC2A6B" w14:textId="60139388" w:rsidR="00500114" w:rsidRPr="00BC0A44" w:rsidRDefault="00500114">
      <w:pPr>
        <w:pStyle w:val="TOC2"/>
        <w:tabs>
          <w:tab w:val="right" w:leader="dot" w:pos="8827"/>
        </w:tabs>
        <w:rPr>
          <w:rFonts w:asciiTheme="minorHAnsi" w:eastAsiaTheme="minorEastAsia" w:hAnsiTheme="minorHAnsi" w:cstheme="minorBidi"/>
          <w:noProof/>
          <w:sz w:val="24"/>
          <w:szCs w:val="24"/>
          <w:lang w:val="en-ES" w:eastAsia="en-GB"/>
        </w:rPr>
      </w:pPr>
      <w:hyperlink w:anchor="_Toc117854285" w:history="1">
        <w:r w:rsidRPr="00BC0A44">
          <w:rPr>
            <w:rStyle w:val="Hyperlink"/>
            <w:rFonts w:cs="Calibri"/>
            <w:noProof/>
            <w:sz w:val="24"/>
            <w:szCs w:val="24"/>
          </w:rPr>
          <w:t>Communication and collaboration between stakeholders</w:t>
        </w:r>
        <w:r w:rsidRPr="00BC0A44">
          <w:rPr>
            <w:noProof/>
            <w:webHidden/>
            <w:sz w:val="24"/>
            <w:szCs w:val="24"/>
          </w:rPr>
          <w:tab/>
        </w:r>
        <w:r w:rsidRPr="00BC0A44">
          <w:rPr>
            <w:noProof/>
            <w:webHidden/>
            <w:sz w:val="24"/>
            <w:szCs w:val="24"/>
          </w:rPr>
          <w:fldChar w:fldCharType="begin"/>
        </w:r>
        <w:r w:rsidRPr="00BC0A44">
          <w:rPr>
            <w:noProof/>
            <w:webHidden/>
            <w:sz w:val="24"/>
            <w:szCs w:val="24"/>
          </w:rPr>
          <w:instrText xml:space="preserve"> PAGEREF _Toc117854285 \h </w:instrText>
        </w:r>
        <w:r w:rsidRPr="00BC0A44">
          <w:rPr>
            <w:noProof/>
            <w:webHidden/>
            <w:sz w:val="24"/>
            <w:szCs w:val="24"/>
          </w:rPr>
        </w:r>
        <w:r w:rsidRPr="00BC0A44">
          <w:rPr>
            <w:noProof/>
            <w:webHidden/>
            <w:sz w:val="24"/>
            <w:szCs w:val="24"/>
          </w:rPr>
          <w:fldChar w:fldCharType="separate"/>
        </w:r>
        <w:r w:rsidRPr="00BC0A44">
          <w:rPr>
            <w:noProof/>
            <w:webHidden/>
            <w:sz w:val="24"/>
            <w:szCs w:val="24"/>
          </w:rPr>
          <w:t>6</w:t>
        </w:r>
        <w:r w:rsidRPr="00BC0A44">
          <w:rPr>
            <w:noProof/>
            <w:webHidden/>
            <w:sz w:val="24"/>
            <w:szCs w:val="24"/>
          </w:rPr>
          <w:fldChar w:fldCharType="end"/>
        </w:r>
      </w:hyperlink>
    </w:p>
    <w:p w14:paraId="7B2414D2" w14:textId="6117C276" w:rsidR="00500114" w:rsidRPr="00BC0A44" w:rsidRDefault="00500114">
      <w:pPr>
        <w:pStyle w:val="TOC2"/>
        <w:tabs>
          <w:tab w:val="right" w:leader="dot" w:pos="8827"/>
        </w:tabs>
        <w:rPr>
          <w:rFonts w:asciiTheme="minorHAnsi" w:eastAsiaTheme="minorEastAsia" w:hAnsiTheme="minorHAnsi" w:cstheme="minorBidi"/>
          <w:noProof/>
          <w:sz w:val="24"/>
          <w:szCs w:val="24"/>
          <w:lang w:val="en-ES" w:eastAsia="en-GB"/>
        </w:rPr>
      </w:pPr>
      <w:hyperlink w:anchor="_Toc117854286" w:history="1">
        <w:r w:rsidRPr="00BC0A44">
          <w:rPr>
            <w:rStyle w:val="Hyperlink"/>
            <w:rFonts w:cs="Calibri"/>
            <w:noProof/>
            <w:sz w:val="24"/>
            <w:szCs w:val="24"/>
          </w:rPr>
          <w:t>Learning and teaching environments</w:t>
        </w:r>
        <w:r w:rsidRPr="00BC0A44">
          <w:rPr>
            <w:noProof/>
            <w:webHidden/>
            <w:sz w:val="24"/>
            <w:szCs w:val="24"/>
          </w:rPr>
          <w:tab/>
        </w:r>
        <w:r w:rsidRPr="00BC0A44">
          <w:rPr>
            <w:noProof/>
            <w:webHidden/>
            <w:sz w:val="24"/>
            <w:szCs w:val="24"/>
          </w:rPr>
          <w:fldChar w:fldCharType="begin"/>
        </w:r>
        <w:r w:rsidRPr="00BC0A44">
          <w:rPr>
            <w:noProof/>
            <w:webHidden/>
            <w:sz w:val="24"/>
            <w:szCs w:val="24"/>
          </w:rPr>
          <w:instrText xml:space="preserve"> PAGEREF _Toc117854286 \h </w:instrText>
        </w:r>
        <w:r w:rsidRPr="00BC0A44">
          <w:rPr>
            <w:noProof/>
            <w:webHidden/>
            <w:sz w:val="24"/>
            <w:szCs w:val="24"/>
          </w:rPr>
        </w:r>
        <w:r w:rsidRPr="00BC0A44">
          <w:rPr>
            <w:noProof/>
            <w:webHidden/>
            <w:sz w:val="24"/>
            <w:szCs w:val="24"/>
          </w:rPr>
          <w:fldChar w:fldCharType="separate"/>
        </w:r>
        <w:r w:rsidRPr="00BC0A44">
          <w:rPr>
            <w:noProof/>
            <w:webHidden/>
            <w:sz w:val="24"/>
            <w:szCs w:val="24"/>
          </w:rPr>
          <w:t>7</w:t>
        </w:r>
        <w:r w:rsidRPr="00BC0A44">
          <w:rPr>
            <w:noProof/>
            <w:webHidden/>
            <w:sz w:val="24"/>
            <w:szCs w:val="24"/>
          </w:rPr>
          <w:fldChar w:fldCharType="end"/>
        </w:r>
      </w:hyperlink>
    </w:p>
    <w:p w14:paraId="2ED19E5A" w14:textId="323FC735" w:rsidR="00500114" w:rsidRPr="00584CEA" w:rsidRDefault="00500114" w:rsidP="00887819">
      <w:pPr>
        <w:pStyle w:val="Agency-body-text"/>
      </w:pPr>
      <w:r w:rsidRPr="00BC0A44">
        <w:rPr>
          <w:szCs w:val="24"/>
        </w:rPr>
        <w:fldChar w:fldCharType="end"/>
      </w:r>
    </w:p>
    <w:p w14:paraId="0A7174F5" w14:textId="06694CCC" w:rsidR="00887819" w:rsidRPr="00584CEA" w:rsidRDefault="00887819" w:rsidP="00887819">
      <w:pPr>
        <w:pStyle w:val="Agency-heading-2"/>
        <w:rPr>
          <w:rStyle w:val="normaltextrun"/>
          <w:rFonts w:cs="Calibri"/>
          <w:b w:val="0"/>
        </w:rPr>
      </w:pPr>
      <w:bookmarkStart w:id="1" w:name="_Toc117854280"/>
      <w:r w:rsidRPr="00584CEA">
        <w:rPr>
          <w:rStyle w:val="normaltextrun"/>
          <w:rFonts w:cs="Calibri"/>
        </w:rPr>
        <w:t>Attitudes and perceptions towards inclusive education</w:t>
      </w:r>
      <w:bookmarkEnd w:id="1"/>
    </w:p>
    <w:p w14:paraId="72D833EA" w14:textId="77777777" w:rsidR="00887819" w:rsidRPr="00584CEA" w:rsidRDefault="00887819" w:rsidP="00887819">
      <w:pPr>
        <w:pStyle w:val="Agency-body-text"/>
        <w:rPr>
          <w:rStyle w:val="normaltextrun"/>
          <w:rFonts w:cs="Calibri"/>
          <w:b/>
          <w:color w:val="000000"/>
          <w:sz w:val="32"/>
          <w:szCs w:val="28"/>
        </w:rPr>
      </w:pPr>
      <w:r w:rsidRPr="00584CEA">
        <w:rPr>
          <w:rStyle w:val="normaltextrun"/>
          <w:rFonts w:cs="Calibri"/>
          <w:i/>
        </w:rPr>
        <w:t>1</w:t>
      </w:r>
      <w:r w:rsidRPr="00584CEA">
        <w:rPr>
          <w:rStyle w:val="normaltextrun"/>
          <w:rFonts w:cs="Calibri"/>
          <w:i/>
          <w:vertAlign w:val="superscript"/>
        </w:rPr>
        <w:t>st</w:t>
      </w:r>
      <w:r w:rsidRPr="00584CEA" w:rsidDel="00E548A7">
        <w:rPr>
          <w:rStyle w:val="normaltextrun"/>
          <w:rFonts w:cs="Calibri"/>
          <w:i/>
        </w:rPr>
        <w:t xml:space="preserve"> </w:t>
      </w:r>
      <w:r w:rsidRPr="00584CEA">
        <w:rPr>
          <w:rStyle w:val="normaltextrun"/>
          <w:rFonts w:cs="Calibri"/>
          <w:i/>
        </w:rPr>
        <w:t>Standard</w:t>
      </w:r>
      <w:r w:rsidRPr="00584CEA">
        <w:rPr>
          <w:rStyle w:val="normaltextrun"/>
          <w:rFonts w:cs="Calibri"/>
          <w:i/>
          <w:color w:val="000000"/>
        </w:rPr>
        <w:t xml:space="preserve">: Inclusive education is defined, understood, </w:t>
      </w:r>
      <w:proofErr w:type="gramStart"/>
      <w:r w:rsidRPr="00584CEA">
        <w:rPr>
          <w:rStyle w:val="normaltextrun"/>
          <w:rFonts w:cs="Calibri"/>
          <w:i/>
          <w:color w:val="000000"/>
        </w:rPr>
        <w:t>accepted</w:t>
      </w:r>
      <w:proofErr w:type="gramEnd"/>
      <w:r w:rsidRPr="00584CEA">
        <w:rPr>
          <w:rStyle w:val="normaltextrun"/>
          <w:rFonts w:cs="Calibri"/>
          <w:i/>
          <w:color w:val="000000"/>
        </w:rPr>
        <w:t xml:space="preserve"> and supported by all stakeholders as an approach leading to the improvement of education for all learners, ensuring equitable learning opportunities and a supportive learning environment. The key issues for this standard are clarity and common understanding of inclusive education.</w:t>
      </w:r>
    </w:p>
    <w:p w14:paraId="49C2FCA8" w14:textId="7D4287AE" w:rsidR="0008226D" w:rsidRPr="00584CEA" w:rsidRDefault="00AA1EE9" w:rsidP="00AA1EE9">
      <w:pPr>
        <w:pStyle w:val="Agency-body-text"/>
      </w:pPr>
      <w:r w:rsidRPr="00584CEA">
        <w:t>A</w:t>
      </w:r>
      <w:r w:rsidRPr="00AA1EE9">
        <w:t>ll European countries are committed to working towards ensuring more inclusive education systems. They do so in different ways, depending on their past and current contexts and histories. Inclusive education systems are seen as a vital component within the wider aspiration of more socially inclusive societies that all countries align themselves with, both ethically and politically.</w:t>
      </w:r>
    </w:p>
    <w:p w14:paraId="0A9A4600" w14:textId="1B505E99" w:rsidR="00787AA0" w:rsidRPr="00584CEA" w:rsidRDefault="0008226D" w:rsidP="00FC02E4">
      <w:pPr>
        <w:pStyle w:val="Agency-body-text"/>
      </w:pPr>
      <w:r w:rsidRPr="00584CEA">
        <w:t>The Agency</w:t>
      </w:r>
      <w:r w:rsidR="005C4155" w:rsidRPr="00584CEA">
        <w:t xml:space="preserve">, together with its </w:t>
      </w:r>
      <w:r w:rsidR="00650525" w:rsidRPr="00584CEA">
        <w:t>member countries (represented by the respective Ministries of Education)</w:t>
      </w:r>
      <w:r w:rsidRPr="00584CEA">
        <w:t xml:space="preserve"> published a position paper which presents Agency member </w:t>
      </w:r>
      <w:proofErr w:type="gramStart"/>
      <w:r w:rsidRPr="00584CEA">
        <w:t>countries’</w:t>
      </w:r>
      <w:proofErr w:type="gramEnd"/>
      <w:r w:rsidRPr="00584CEA">
        <w:t xml:space="preserve"> </w:t>
      </w:r>
      <w:r w:rsidR="00650525" w:rsidRPr="00584CEA">
        <w:t xml:space="preserve">shared </w:t>
      </w:r>
      <w:r w:rsidRPr="00584CEA">
        <w:t>ultimate vision for inclusive education systems</w:t>
      </w:r>
      <w:r w:rsidR="005C4155" w:rsidRPr="00584CEA">
        <w:t xml:space="preserve">. </w:t>
      </w:r>
      <w:r w:rsidR="00650525" w:rsidRPr="00584CEA">
        <w:t>Th</w:t>
      </w:r>
      <w:r w:rsidR="00787AA0" w:rsidRPr="00584CEA">
        <w:t>e shared ultimate vision for inclusive education systems is to ensure that all learners of any age are provided with meaningful, high-quality educational opportunities in their local community, alongside their friends and peers.</w:t>
      </w:r>
    </w:p>
    <w:p w14:paraId="3CD0053A" w14:textId="64E88B01" w:rsidR="006264DE" w:rsidRPr="00584CEA" w:rsidRDefault="006264DE" w:rsidP="00FC02E4">
      <w:pPr>
        <w:pStyle w:val="Agency-body-text"/>
      </w:pPr>
      <w:r w:rsidRPr="00584CEA">
        <w:t xml:space="preserve">The </w:t>
      </w:r>
      <w:hyperlink r:id="rId11" w:history="1">
        <w:r w:rsidRPr="00584CEA">
          <w:rPr>
            <w:rStyle w:val="Hyperlink"/>
          </w:rPr>
          <w:t xml:space="preserve">Agency position </w:t>
        </w:r>
        <w:r w:rsidR="00EA00A8" w:rsidRPr="00584CEA">
          <w:rPr>
            <w:rStyle w:val="Hyperlink"/>
          </w:rPr>
          <w:t>on inclusive education systems</w:t>
        </w:r>
      </w:hyperlink>
      <w:r w:rsidR="00EA00A8" w:rsidRPr="00584CEA">
        <w:t xml:space="preserve"> is the basis of all Agency activities. It considers that for this vision to be enacted:</w:t>
      </w:r>
    </w:p>
    <w:p w14:paraId="79FBAF62" w14:textId="77777777" w:rsidR="00BA3A6F" w:rsidRPr="00BA3A6F" w:rsidRDefault="00BA3A6F" w:rsidP="00BA3A6F">
      <w:pPr>
        <w:pStyle w:val="Agency-body-text"/>
        <w:numPr>
          <w:ilvl w:val="0"/>
          <w:numId w:val="46"/>
        </w:numPr>
      </w:pPr>
      <w:r w:rsidRPr="00BA3A6F">
        <w:lastRenderedPageBreak/>
        <w:t xml:space="preserve">the </w:t>
      </w:r>
      <w:r w:rsidRPr="00BA3A6F">
        <w:rPr>
          <w:b/>
        </w:rPr>
        <w:t xml:space="preserve">legislation </w:t>
      </w:r>
      <w:r w:rsidRPr="00BA3A6F">
        <w:t>directing inclusive education systems must be underpinned by the fundamental commitment to ensuring every learner’s right to inclusive and equitable educational opportunities.</w:t>
      </w:r>
    </w:p>
    <w:p w14:paraId="4670F4F1" w14:textId="66B770AD" w:rsidR="00BA3A6F" w:rsidRPr="00584CEA" w:rsidRDefault="5C5360C6" w:rsidP="00BA3A6F">
      <w:pPr>
        <w:pStyle w:val="Agency-body-text"/>
        <w:numPr>
          <w:ilvl w:val="0"/>
          <w:numId w:val="46"/>
        </w:numPr>
      </w:pPr>
      <w:r w:rsidRPr="00584CEA">
        <w:t>t</w:t>
      </w:r>
      <w:r w:rsidR="00BA3A6F" w:rsidRPr="00584CEA">
        <w:t xml:space="preserve">he </w:t>
      </w:r>
      <w:r w:rsidR="00BA3A6F" w:rsidRPr="00584CEA">
        <w:rPr>
          <w:b/>
        </w:rPr>
        <w:t>policy</w:t>
      </w:r>
      <w:r w:rsidR="00BA3A6F" w:rsidRPr="00584CEA">
        <w:t xml:space="preserve"> governing inclusive education systems must provide a clear vision for and conceptualisation of inclusive education as an approach for improving the educational opportunities of all learners. </w:t>
      </w:r>
    </w:p>
    <w:p w14:paraId="750A257F" w14:textId="56D4A792" w:rsidR="00EA00A8" w:rsidRPr="00BA3A6F" w:rsidRDefault="00BA3A6F" w:rsidP="00BA3A6F">
      <w:pPr>
        <w:pStyle w:val="Agency-body-text"/>
        <w:numPr>
          <w:ilvl w:val="0"/>
          <w:numId w:val="46"/>
        </w:numPr>
      </w:pPr>
      <w:r w:rsidRPr="00BA3A6F">
        <w:rPr>
          <w:b/>
        </w:rPr>
        <w:t>operational principles</w:t>
      </w:r>
      <w:r w:rsidRPr="00BA3A6F">
        <w:t xml:space="preserve"> guiding the implementation of structures and procedures within inclusive education systems must be those of equity, effectiveness, efficiency and raising achievements for all stakeholders – learners, their parents and families, educational professionals, community representatives and decision-makers – through high-quality, accessible educational opportunities.</w:t>
      </w:r>
    </w:p>
    <w:p w14:paraId="7F76EC37" w14:textId="0B51B016" w:rsidR="006303EF" w:rsidRPr="00584CEA" w:rsidRDefault="006303EF" w:rsidP="005F5F00">
      <w:pPr>
        <w:pStyle w:val="Agency-body-text"/>
        <w:rPr>
          <w:rStyle w:val="normaltextrun"/>
        </w:rPr>
      </w:pPr>
      <w:r w:rsidRPr="00584CEA">
        <w:rPr>
          <w:rStyle w:val="normaltextrun"/>
        </w:rPr>
        <w:t xml:space="preserve">A detailed </w:t>
      </w:r>
      <w:hyperlink r:id="rId12" w:history="1">
        <w:r w:rsidRPr="00584CEA">
          <w:rPr>
            <w:rStyle w:val="Hyperlink"/>
          </w:rPr>
          <w:t>Annex</w:t>
        </w:r>
      </w:hyperlink>
      <w:r w:rsidRPr="00584CEA">
        <w:rPr>
          <w:rStyle w:val="normaltextrun"/>
        </w:rPr>
        <w:t xml:space="preserve"> is available for this Agency position</w:t>
      </w:r>
      <w:r w:rsidR="00F84296" w:rsidRPr="00584CEA">
        <w:rPr>
          <w:rStyle w:val="normaltextrun"/>
        </w:rPr>
        <w:t xml:space="preserve"> is available which present the wider European and international policy and practice context. </w:t>
      </w:r>
    </w:p>
    <w:p w14:paraId="30951DF8" w14:textId="48299CF3" w:rsidR="00076BD0" w:rsidRPr="00584CEA" w:rsidRDefault="00076BD0" w:rsidP="005F5F00">
      <w:pPr>
        <w:pStyle w:val="Agency-body-text"/>
        <w:rPr>
          <w:rStyle w:val="normaltextrun"/>
        </w:rPr>
      </w:pPr>
      <w:r w:rsidRPr="00584CEA">
        <w:rPr>
          <w:rStyle w:val="normaltextrun"/>
        </w:rPr>
        <w:t xml:space="preserve">To communicate and share this vision different </w:t>
      </w:r>
      <w:r w:rsidR="00D9627E" w:rsidRPr="00584CEA">
        <w:rPr>
          <w:rStyle w:val="normaltextrun"/>
        </w:rPr>
        <w:t xml:space="preserve">multilingual </w:t>
      </w:r>
      <w:r w:rsidRPr="00584CEA">
        <w:rPr>
          <w:rStyle w:val="normaltextrun"/>
        </w:rPr>
        <w:t>resources have been prepared and shared</w:t>
      </w:r>
      <w:r w:rsidR="00934DF3" w:rsidRPr="00584CEA">
        <w:rPr>
          <w:rStyle w:val="normaltextrun"/>
        </w:rPr>
        <w:t xml:space="preserve"> including an </w:t>
      </w:r>
      <w:hyperlink r:id="rId13" w:history="1">
        <w:r w:rsidR="00934DF3" w:rsidRPr="00584CEA">
          <w:rPr>
            <w:rStyle w:val="Hyperlink"/>
          </w:rPr>
          <w:t>information flyer</w:t>
        </w:r>
      </w:hyperlink>
      <w:r w:rsidR="00934DF3" w:rsidRPr="00584CEA">
        <w:rPr>
          <w:rStyle w:val="normaltextrun"/>
        </w:rPr>
        <w:t xml:space="preserve">, an </w:t>
      </w:r>
      <w:hyperlink r:id="rId14" w:history="1">
        <w:r w:rsidR="00934DF3" w:rsidRPr="00584CEA">
          <w:rPr>
            <w:rStyle w:val="Hyperlink"/>
          </w:rPr>
          <w:t>infographic</w:t>
        </w:r>
      </w:hyperlink>
      <w:r w:rsidR="00934DF3" w:rsidRPr="00584CEA">
        <w:rPr>
          <w:rStyle w:val="normaltextrun"/>
        </w:rPr>
        <w:t xml:space="preserve"> and a </w:t>
      </w:r>
      <w:hyperlink r:id="rId15" w:history="1">
        <w:r w:rsidR="00934DF3" w:rsidRPr="00584CEA">
          <w:rPr>
            <w:rStyle w:val="Hyperlink"/>
          </w:rPr>
          <w:t>video</w:t>
        </w:r>
      </w:hyperlink>
      <w:r w:rsidR="00934DF3" w:rsidRPr="00584CEA">
        <w:rPr>
          <w:rStyle w:val="normaltextrun"/>
        </w:rPr>
        <w:t xml:space="preserve">. </w:t>
      </w:r>
    </w:p>
    <w:p w14:paraId="2EDC5056" w14:textId="0F42DA96" w:rsidR="00DA4C96" w:rsidRPr="00DA4C96" w:rsidRDefault="00F3631D" w:rsidP="00DA4C96">
      <w:pPr>
        <w:pStyle w:val="Agency-body-text"/>
      </w:pPr>
      <w:r w:rsidRPr="00584CEA">
        <w:rPr>
          <w:rStyle w:val="normaltextrun"/>
        </w:rPr>
        <w:t xml:space="preserve">The </w:t>
      </w:r>
      <w:hyperlink r:id="rId16">
        <w:r w:rsidRPr="00584CEA">
          <w:rPr>
            <w:rStyle w:val="Hyperlink"/>
          </w:rPr>
          <w:t xml:space="preserve">GEM regional report for Central and Eastern Europe, </w:t>
        </w:r>
        <w:proofErr w:type="gramStart"/>
        <w:r w:rsidRPr="00584CEA">
          <w:rPr>
            <w:rStyle w:val="Hyperlink"/>
          </w:rPr>
          <w:t>Caucasus</w:t>
        </w:r>
        <w:proofErr w:type="gramEnd"/>
        <w:r w:rsidRPr="00584CEA">
          <w:rPr>
            <w:rStyle w:val="Hyperlink"/>
          </w:rPr>
          <w:t xml:space="preserve"> and Central Asia</w:t>
        </w:r>
      </w:hyperlink>
      <w:r w:rsidR="00543738" w:rsidRPr="00584CEA">
        <w:t>, titled ‘Inclusion and education: All means all’</w:t>
      </w:r>
      <w:r w:rsidR="00DA4C96" w:rsidRPr="00584CEA">
        <w:t xml:space="preserve">. The report outlines the progress made towards achieving </w:t>
      </w:r>
      <w:hyperlink r:id="rId17">
        <w:r w:rsidR="00DA4C96" w:rsidRPr="00584CEA">
          <w:rPr>
            <w:rStyle w:val="Hyperlink"/>
          </w:rPr>
          <w:t>Sustainable Development Goal 4</w:t>
        </w:r>
      </w:hyperlink>
      <w:r w:rsidR="00DA4C96" w:rsidRPr="00DA4C96">
        <w:t xml:space="preserve">, based on evidence gathered from across the region. It highlights many positive steps made by countries in the region </w:t>
      </w:r>
      <w:r w:rsidR="558F2D7C" w:rsidRPr="00584CEA">
        <w:t xml:space="preserve">– including the Czech Republic - </w:t>
      </w:r>
      <w:r w:rsidR="00DA4C96" w:rsidRPr="00DA4C96">
        <w:t>towards inclusion such as the out-of-school rates, which have fallen by half in the last 20 years. Most of the region’s education systems now include multiple marginalised groups in their definitions of inclusion, and school support systems are much wider and more flexible.</w:t>
      </w:r>
    </w:p>
    <w:p w14:paraId="5502C1D7" w14:textId="77777777" w:rsidR="00DA4C96" w:rsidRPr="00DA4C96" w:rsidRDefault="00DA4C96" w:rsidP="00DA4C96">
      <w:pPr>
        <w:pStyle w:val="Agency-body-text"/>
      </w:pPr>
      <w:r w:rsidRPr="00DA4C96">
        <w:t>However, the report also indicates that there is still a way to go to achieve SDG 4 across the region. Many learners with special educational needs in the region are still placed in special schools, and many from minority or lower socio-economic groups do not complete secondary education. There is also evidence of some countries reinforcing gender stereotypes and failing to stamp out bullying based on sexual orientation and gender identity.</w:t>
      </w:r>
    </w:p>
    <w:p w14:paraId="7EFFF1D3" w14:textId="77777777" w:rsidR="00887819" w:rsidRPr="00584CEA" w:rsidRDefault="00887819" w:rsidP="00887819">
      <w:pPr>
        <w:pStyle w:val="Agency-heading-2"/>
        <w:rPr>
          <w:rFonts w:ascii="Segoe UI" w:hAnsi="Segoe UI" w:cs="Segoe UI"/>
          <w:sz w:val="18"/>
          <w:szCs w:val="18"/>
        </w:rPr>
      </w:pPr>
      <w:bookmarkStart w:id="2" w:name="_Toc71558854"/>
      <w:bookmarkStart w:id="3" w:name="_Toc117854281"/>
      <w:r w:rsidRPr="00584CEA">
        <w:rPr>
          <w:rStyle w:val="normaltextrun"/>
          <w:rFonts w:cs="Calibri"/>
        </w:rPr>
        <w:t>System capacity building</w:t>
      </w:r>
      <w:bookmarkEnd w:id="2"/>
      <w:bookmarkEnd w:id="3"/>
      <w:r w:rsidRPr="00584CEA">
        <w:rPr>
          <w:rStyle w:val="eop"/>
          <w:rFonts w:cs="Calibri"/>
        </w:rPr>
        <w:t> </w:t>
      </w:r>
    </w:p>
    <w:p w14:paraId="3BED215E" w14:textId="733B7815" w:rsidR="00887819" w:rsidRPr="00584CEA" w:rsidRDefault="00887819" w:rsidP="00887819">
      <w:pPr>
        <w:pStyle w:val="Agency-body-text"/>
        <w:rPr>
          <w:rStyle w:val="eop"/>
          <w:rFonts w:cs="Calibri"/>
          <w:i/>
          <w:color w:val="000000"/>
        </w:rPr>
      </w:pPr>
      <w:r w:rsidRPr="00584CEA">
        <w:rPr>
          <w:rStyle w:val="normaltextrun"/>
          <w:rFonts w:cs="Calibri"/>
          <w:i/>
          <w:color w:val="000000"/>
        </w:rPr>
        <w:t>2</w:t>
      </w:r>
      <w:r w:rsidRPr="00584CEA">
        <w:rPr>
          <w:rStyle w:val="normaltextrun"/>
          <w:rFonts w:cs="Calibri"/>
          <w:i/>
          <w:color w:val="000000"/>
          <w:vertAlign w:val="superscript"/>
        </w:rPr>
        <w:t>nd</w:t>
      </w:r>
      <w:r w:rsidRPr="00584CEA">
        <w:rPr>
          <w:rStyle w:val="normaltextrun"/>
          <w:rFonts w:cs="Calibri"/>
          <w:i/>
          <w:color w:val="000000"/>
        </w:rPr>
        <w:t xml:space="preserve"> Standard: All learners in all schools are provided opportunities and effective support to meet their educational, </w:t>
      </w:r>
      <w:proofErr w:type="gramStart"/>
      <w:r w:rsidRPr="00584CEA">
        <w:rPr>
          <w:rStyle w:val="normaltextrun"/>
          <w:rFonts w:cs="Calibri"/>
          <w:i/>
          <w:color w:val="000000"/>
        </w:rPr>
        <w:t>social</w:t>
      </w:r>
      <w:proofErr w:type="gramEnd"/>
      <w:r w:rsidRPr="00584CEA">
        <w:rPr>
          <w:rStyle w:val="normaltextrun"/>
          <w:rFonts w:cs="Calibri"/>
          <w:i/>
          <w:color w:val="000000"/>
        </w:rPr>
        <w:t xml:space="preserve"> and emotional needs. The key issue for this standard</w:t>
      </w:r>
      <w:r w:rsidRPr="00584CEA">
        <w:rPr>
          <w:rStyle w:val="apple-converted-space"/>
          <w:rFonts w:cs="Calibri"/>
          <w:i/>
          <w:color w:val="000000"/>
        </w:rPr>
        <w:t xml:space="preserve"> is h</w:t>
      </w:r>
      <w:r w:rsidRPr="00584CEA">
        <w:rPr>
          <w:rStyle w:val="normaltextrun"/>
          <w:rFonts w:cs="Calibri"/>
          <w:i/>
          <w:color w:val="000000"/>
        </w:rPr>
        <w:t xml:space="preserve">ow </w:t>
      </w:r>
      <w:proofErr w:type="gramStart"/>
      <w:r w:rsidRPr="00584CEA">
        <w:rPr>
          <w:rStyle w:val="normaltextrun"/>
          <w:rFonts w:cs="Calibri"/>
          <w:i/>
          <w:color w:val="000000"/>
        </w:rPr>
        <w:t>far</w:t>
      </w:r>
      <w:proofErr w:type="gramEnd"/>
      <w:r w:rsidRPr="00584CEA">
        <w:rPr>
          <w:rStyle w:val="normaltextrun"/>
          <w:rFonts w:cs="Calibri"/>
          <w:i/>
          <w:color w:val="000000"/>
        </w:rPr>
        <w:t xml:space="preserve"> legislation and policy support an equitable education system for all learners</w:t>
      </w:r>
      <w:r w:rsidRPr="00584CEA">
        <w:rPr>
          <w:rStyle w:val="apple-converted-space"/>
          <w:rFonts w:cs="Calibri"/>
          <w:i/>
          <w:color w:val="000000"/>
        </w:rPr>
        <w:t> </w:t>
      </w:r>
      <w:r w:rsidRPr="00584CEA">
        <w:rPr>
          <w:rStyle w:val="normaltextrun"/>
          <w:rFonts w:cs="Calibri"/>
          <w:i/>
          <w:color w:val="000000"/>
        </w:rPr>
        <w:t>and addresses regional disparities</w:t>
      </w:r>
      <w:r w:rsidRPr="00584CEA">
        <w:rPr>
          <w:rStyle w:val="eop"/>
          <w:rFonts w:cs="Calibri"/>
          <w:i/>
          <w:color w:val="000000"/>
        </w:rPr>
        <w:t>.</w:t>
      </w:r>
    </w:p>
    <w:p w14:paraId="40F46A35" w14:textId="7E63FA10" w:rsidR="00887819" w:rsidRPr="00584CEA" w:rsidRDefault="00887819" w:rsidP="00887819">
      <w:pPr>
        <w:pStyle w:val="Agency-body-text"/>
        <w:rPr>
          <w:szCs w:val="24"/>
          <w:lang w:eastAsia="en-GB"/>
        </w:rPr>
      </w:pPr>
      <w:r w:rsidRPr="00584CEA">
        <w:t xml:space="preserve">The </w:t>
      </w:r>
      <w:hyperlink r:id="rId18" w:history="1">
        <w:r w:rsidRPr="00584CEA">
          <w:rPr>
            <w:rStyle w:val="Hyperlink"/>
          </w:rPr>
          <w:t>Organisation of Provision</w:t>
        </w:r>
      </w:hyperlink>
      <w:r w:rsidRPr="00584CEA">
        <w:t xml:space="preserve"> project has gathered extensive information across a number of European countries and jurisdictions on how these countries organise their systems of provision to meet the needs of learners, including: </w:t>
      </w:r>
      <w:r w:rsidRPr="00584CEA">
        <w:rPr>
          <w:szCs w:val="24"/>
          <w:lang w:eastAsia="en-GB"/>
        </w:rPr>
        <w:t>Austria, Belgium (Flemish Community), Belgium (French Community), Cyprus, Czech Republic, Denmark, Estonia, Finland, France, Germany, Greece, Hungary, Iceland, Ireland, Latvia, Lithuania, Malta, Netherlands, Norway, Poland, Portugal, Slovenia, Sweden, UK (England), UK (Northern Ireland), UK (Scotland), UK (Wales).</w:t>
      </w:r>
    </w:p>
    <w:p w14:paraId="66C76D65" w14:textId="2FB09DD5" w:rsidR="00887819" w:rsidRPr="00584CEA" w:rsidRDefault="00887819" w:rsidP="00887819">
      <w:pPr>
        <w:pStyle w:val="Agency-body-text"/>
      </w:pPr>
      <w:r w:rsidRPr="00584CEA">
        <w:lastRenderedPageBreak/>
        <w:t xml:space="preserve">In addition to an extensive </w:t>
      </w:r>
      <w:hyperlink r:id="rId19" w:history="1">
        <w:r w:rsidRPr="00584CEA">
          <w:rPr>
            <w:rStyle w:val="Hyperlink"/>
          </w:rPr>
          <w:t>literature review</w:t>
        </w:r>
      </w:hyperlink>
      <w:r w:rsidRPr="00584CEA">
        <w:t xml:space="preserve">, details of </w:t>
      </w:r>
      <w:hyperlink r:id="rId20" w:history="1">
        <w:r w:rsidRPr="00584CEA">
          <w:rPr>
            <w:rStyle w:val="Hyperlink"/>
          </w:rPr>
          <w:t>Country study visits</w:t>
        </w:r>
      </w:hyperlink>
      <w:r w:rsidRPr="00584CEA">
        <w:t xml:space="preserve">, a </w:t>
      </w:r>
      <w:hyperlink r:id="rId21" w:history="1">
        <w:r w:rsidRPr="00584CEA">
          <w:rPr>
            <w:rStyle w:val="Hyperlink"/>
          </w:rPr>
          <w:t>project synthesis report</w:t>
        </w:r>
      </w:hyperlink>
      <w:r w:rsidRPr="00584CEA">
        <w:t xml:space="preserve"> and </w:t>
      </w:r>
      <w:hyperlink r:id="rId22" w:history="1">
        <w:r w:rsidRPr="00887819">
          <w:rPr>
            <w:rStyle w:val="Hyperlink"/>
          </w:rPr>
          <w:t>policy brief</w:t>
        </w:r>
      </w:hyperlink>
      <w:r w:rsidRPr="00887819">
        <w:t xml:space="preserve"> </w:t>
      </w:r>
      <w:r w:rsidRPr="00584CEA">
        <w:t xml:space="preserve">are available in 22 languages including Czech. </w:t>
      </w:r>
    </w:p>
    <w:p w14:paraId="52FD72AB" w14:textId="07AAC20C" w:rsidR="00887819" w:rsidRPr="00584CEA" w:rsidRDefault="00887819" w:rsidP="00887819">
      <w:pPr>
        <w:pStyle w:val="Agency-body-text"/>
      </w:pPr>
      <w:r w:rsidRPr="00584CEA">
        <w:t xml:space="preserve">A very detailed online </w:t>
      </w:r>
      <w:hyperlink r:id="rId23">
        <w:r w:rsidRPr="00584CEA">
          <w:rPr>
            <w:rStyle w:val="Hyperlink"/>
          </w:rPr>
          <w:t>resource for Increasing Inclusive Capability</w:t>
        </w:r>
      </w:hyperlink>
      <w:r w:rsidRPr="00584CEA">
        <w:t xml:space="preserve"> is available to support decision-makers at national and local levels in moving towards more inclusive approaches.</w:t>
      </w:r>
    </w:p>
    <w:p w14:paraId="01818632" w14:textId="390371CC" w:rsidR="378C41D7" w:rsidRPr="00584CEA" w:rsidRDefault="378C41D7" w:rsidP="273AE009">
      <w:pPr>
        <w:pStyle w:val="Agency-body-text"/>
        <w:rPr>
          <w:rFonts w:eastAsia="Calibri" w:cs="Calibri"/>
        </w:rPr>
      </w:pPr>
      <w:r w:rsidRPr="00584CEA">
        <w:rPr>
          <w:rFonts w:eastAsia="Calibri" w:cs="Calibri"/>
        </w:rPr>
        <w:t>An on-going collaboration between the Agency and UNESCO is the Inclusive Education in Action resource</w:t>
      </w:r>
      <w:r w:rsidR="611D79AF" w:rsidRPr="00584CEA">
        <w:rPr>
          <w:rFonts w:eastAsia="Calibri" w:cs="Calibri"/>
        </w:rPr>
        <w:t xml:space="preserve"> base</w:t>
      </w:r>
      <w:r w:rsidR="1B0AC363" w:rsidRPr="00584CEA">
        <w:rPr>
          <w:rFonts w:eastAsia="Calibri" w:cs="Calibri"/>
        </w:rPr>
        <w:t xml:space="preserve"> - an online public resource and knowledge base on approaches to inclusive education around the world.</w:t>
      </w:r>
      <w:r w:rsidR="6E65D1CC" w:rsidRPr="00584CEA">
        <w:rPr>
          <w:rFonts w:eastAsia="Calibri" w:cs="Calibri"/>
        </w:rPr>
        <w:t xml:space="preserve"> The </w:t>
      </w:r>
      <w:hyperlink r:id="rId24">
        <w:r w:rsidR="6E65D1CC" w:rsidRPr="00584CEA">
          <w:rPr>
            <w:rStyle w:val="Hyperlink"/>
            <w:rFonts w:eastAsia="Calibri" w:cs="Calibri"/>
          </w:rPr>
          <w:t>IEA website</w:t>
        </w:r>
      </w:hyperlink>
      <w:r w:rsidRPr="00584CEA">
        <w:rPr>
          <w:rFonts w:eastAsia="Calibri" w:cs="Calibri"/>
        </w:rPr>
        <w:t xml:space="preserve"> presents a collection of </w:t>
      </w:r>
      <w:r w:rsidR="5743D86B" w:rsidRPr="00584CEA">
        <w:rPr>
          <w:rFonts w:eastAsia="Calibri" w:cs="Calibri"/>
        </w:rPr>
        <w:t>global r</w:t>
      </w:r>
      <w:r w:rsidRPr="00584CEA">
        <w:rPr>
          <w:rFonts w:eastAsia="Calibri" w:cs="Calibri"/>
        </w:rPr>
        <w:t>e</w:t>
      </w:r>
      <w:r w:rsidR="5743D86B" w:rsidRPr="00584CEA">
        <w:rPr>
          <w:rFonts w:eastAsia="Calibri" w:cs="Calibri"/>
        </w:rPr>
        <w:t xml:space="preserve">sources </w:t>
      </w:r>
      <w:r w:rsidRPr="00584CEA">
        <w:rPr>
          <w:rFonts w:eastAsia="Calibri" w:cs="Calibri"/>
        </w:rPr>
        <w:t xml:space="preserve">and </w:t>
      </w:r>
      <w:r w:rsidR="2B305C97" w:rsidRPr="00584CEA">
        <w:rPr>
          <w:rFonts w:eastAsia="Calibri" w:cs="Calibri"/>
        </w:rPr>
        <w:t xml:space="preserve">case studies </w:t>
      </w:r>
      <w:r w:rsidRPr="00584CEA">
        <w:rPr>
          <w:rFonts w:eastAsia="Calibri" w:cs="Calibri"/>
        </w:rPr>
        <w:t xml:space="preserve">on inclusive education. </w:t>
      </w:r>
    </w:p>
    <w:p w14:paraId="07B470C2" w14:textId="2987CAB2" w:rsidR="378C41D7" w:rsidRPr="00584CEA" w:rsidRDefault="378C41D7" w:rsidP="273AE009">
      <w:pPr>
        <w:pStyle w:val="Agency-body-text"/>
        <w:rPr>
          <w:rFonts w:eastAsia="Calibri" w:cs="Calibri"/>
        </w:rPr>
      </w:pPr>
      <w:r w:rsidRPr="00584CEA">
        <w:rPr>
          <w:rFonts w:eastAsia="Calibri" w:cs="Calibri"/>
        </w:rPr>
        <w:t xml:space="preserve">The </w:t>
      </w:r>
      <w:hyperlink r:id="rId25">
        <w:r w:rsidRPr="00584CEA">
          <w:rPr>
            <w:rStyle w:val="Hyperlink"/>
            <w:rFonts w:eastAsia="Calibri" w:cs="Calibri"/>
          </w:rPr>
          <w:t>case studies</w:t>
        </w:r>
      </w:hyperlink>
      <w:r w:rsidRPr="00584CEA">
        <w:rPr>
          <w:rFonts w:eastAsia="Calibri" w:cs="Calibri"/>
        </w:rPr>
        <w:t xml:space="preserve"> present detailed information from </w:t>
      </w:r>
      <w:proofErr w:type="gramStart"/>
      <w:r w:rsidRPr="00584CEA">
        <w:rPr>
          <w:rFonts w:eastAsia="Calibri" w:cs="Calibri"/>
        </w:rPr>
        <w:t>policy-makers</w:t>
      </w:r>
      <w:proofErr w:type="gramEnd"/>
      <w:r w:rsidRPr="00584CEA">
        <w:rPr>
          <w:rFonts w:eastAsia="Calibri" w:cs="Calibri"/>
        </w:rPr>
        <w:t xml:space="preserve"> and practitioners for inclusive education about their work and its results. The case studies provide insights into inclusive education systems around the world for </w:t>
      </w:r>
      <w:proofErr w:type="gramStart"/>
      <w:r w:rsidRPr="00584CEA">
        <w:rPr>
          <w:rFonts w:eastAsia="Calibri" w:cs="Calibri"/>
        </w:rPr>
        <w:t>policy-makers</w:t>
      </w:r>
      <w:proofErr w:type="gramEnd"/>
      <w:r w:rsidRPr="00584CEA">
        <w:rPr>
          <w:rFonts w:eastAsia="Calibri" w:cs="Calibri"/>
        </w:rPr>
        <w:t xml:space="preserve"> working to develop equity and equal opportunities within education systems.</w:t>
      </w:r>
      <w:r w:rsidR="2DC45861" w:rsidRPr="00584CEA">
        <w:rPr>
          <w:rFonts w:eastAsia="Calibri" w:cs="Calibri"/>
        </w:rPr>
        <w:t xml:space="preserve"> </w:t>
      </w:r>
      <w:r w:rsidRPr="00584CEA">
        <w:rPr>
          <w:rFonts w:eastAsia="Calibri" w:cs="Calibri"/>
        </w:rPr>
        <w:t>Case studies focus on four themes:</w:t>
      </w:r>
    </w:p>
    <w:p w14:paraId="1E15EA72" w14:textId="0A4C8729" w:rsidR="378C41D7" w:rsidRPr="00584CEA" w:rsidRDefault="378C41D7" w:rsidP="273AE009">
      <w:pPr>
        <w:pStyle w:val="Agency-body-text"/>
        <w:numPr>
          <w:ilvl w:val="0"/>
          <w:numId w:val="44"/>
        </w:numPr>
        <w:rPr>
          <w:rFonts w:eastAsia="Calibri" w:cs="Calibri"/>
          <w:szCs w:val="24"/>
        </w:rPr>
      </w:pPr>
      <w:r w:rsidRPr="00584CEA">
        <w:rPr>
          <w:rFonts w:eastAsia="Calibri" w:cs="Calibri"/>
        </w:rPr>
        <w:t>Specific policy initiatives for inclusive education</w:t>
      </w:r>
    </w:p>
    <w:p w14:paraId="0F5D7E1F" w14:textId="612A2102" w:rsidR="378C41D7" w:rsidRPr="00584CEA" w:rsidRDefault="378C41D7" w:rsidP="273AE009">
      <w:pPr>
        <w:pStyle w:val="Agency-body-text"/>
        <w:numPr>
          <w:ilvl w:val="0"/>
          <w:numId w:val="44"/>
        </w:numPr>
        <w:rPr>
          <w:rFonts w:eastAsia="Calibri" w:cs="Calibri"/>
          <w:szCs w:val="24"/>
        </w:rPr>
      </w:pPr>
      <w:r w:rsidRPr="00584CEA">
        <w:rPr>
          <w:rFonts w:eastAsia="Calibri" w:cs="Calibri"/>
        </w:rPr>
        <w:t>Inclusive curriculum development</w:t>
      </w:r>
    </w:p>
    <w:p w14:paraId="58A3743A" w14:textId="5A9F8E86" w:rsidR="378C41D7" w:rsidRPr="00584CEA" w:rsidRDefault="378C41D7" w:rsidP="273AE009">
      <w:pPr>
        <w:pStyle w:val="Agency-body-text"/>
        <w:numPr>
          <w:ilvl w:val="0"/>
          <w:numId w:val="44"/>
        </w:numPr>
        <w:rPr>
          <w:rFonts w:eastAsia="Calibri" w:cs="Calibri"/>
          <w:szCs w:val="24"/>
        </w:rPr>
      </w:pPr>
      <w:r w:rsidRPr="00584CEA">
        <w:rPr>
          <w:rFonts w:eastAsia="Calibri" w:cs="Calibri"/>
        </w:rPr>
        <w:t>Developing inclusive learning environments</w:t>
      </w:r>
    </w:p>
    <w:p w14:paraId="20F12B8D" w14:textId="65B25170" w:rsidR="378C41D7" w:rsidRPr="00584CEA" w:rsidRDefault="378C41D7" w:rsidP="273AE009">
      <w:pPr>
        <w:pStyle w:val="Agency-body-text"/>
        <w:numPr>
          <w:ilvl w:val="0"/>
          <w:numId w:val="44"/>
        </w:numPr>
        <w:rPr>
          <w:rFonts w:eastAsia="Calibri" w:cs="Calibri"/>
          <w:szCs w:val="24"/>
        </w:rPr>
      </w:pPr>
      <w:r w:rsidRPr="00584CEA">
        <w:rPr>
          <w:rFonts w:eastAsia="Calibri" w:cs="Calibri"/>
        </w:rPr>
        <w:t>Educational staff professional development.</w:t>
      </w:r>
    </w:p>
    <w:p w14:paraId="561DBC61" w14:textId="77777777" w:rsidR="00887819" w:rsidRPr="00584CEA" w:rsidRDefault="00887819" w:rsidP="00887819">
      <w:pPr>
        <w:pStyle w:val="Agency-heading-2"/>
      </w:pPr>
      <w:bookmarkStart w:id="4" w:name="_Toc70066602"/>
      <w:bookmarkStart w:id="5" w:name="_Toc71558855"/>
      <w:bookmarkStart w:id="6" w:name="_Toc117854282"/>
      <w:r w:rsidRPr="00584CEA">
        <w:rPr>
          <w:rStyle w:val="normaltextrun"/>
        </w:rPr>
        <w:t>Funding models</w:t>
      </w:r>
      <w:bookmarkEnd w:id="4"/>
      <w:bookmarkEnd w:id="5"/>
      <w:bookmarkEnd w:id="6"/>
    </w:p>
    <w:p w14:paraId="4DD0C209" w14:textId="3F7E7CAB" w:rsidR="00887819" w:rsidRPr="00584CEA" w:rsidRDefault="00887819" w:rsidP="00887819">
      <w:pPr>
        <w:pStyle w:val="Agency-body-text"/>
        <w:rPr>
          <w:rStyle w:val="normaltextrun"/>
          <w:i/>
        </w:rPr>
      </w:pPr>
      <w:r w:rsidRPr="00584CEA">
        <w:rPr>
          <w:rStyle w:val="normaltextrun"/>
          <w:i/>
        </w:rPr>
        <w:t>3</w:t>
      </w:r>
      <w:r w:rsidRPr="00584CEA">
        <w:rPr>
          <w:rStyle w:val="normaltextrun"/>
          <w:i/>
          <w:vertAlign w:val="superscript"/>
        </w:rPr>
        <w:t>rd</w:t>
      </w:r>
      <w:r w:rsidRPr="00584CEA">
        <w:rPr>
          <w:rStyle w:val="normaltextrun"/>
          <w:i/>
        </w:rPr>
        <w:t xml:space="preserve"> Standard: Allocation of funds and resources is equitable, efficient, cost-effective, </w:t>
      </w:r>
      <w:proofErr w:type="gramStart"/>
      <w:r w:rsidRPr="00584CEA">
        <w:rPr>
          <w:rStyle w:val="normaltextrun"/>
          <w:i/>
        </w:rPr>
        <w:t>flexible</w:t>
      </w:r>
      <w:proofErr w:type="gramEnd"/>
      <w:r w:rsidRPr="00584CEA">
        <w:rPr>
          <w:rStyle w:val="normaltextrun"/>
          <w:i/>
        </w:rPr>
        <w:t xml:space="preserve"> and co-ordinated. The key issues for this standard are the effectiveness, equity and enabling effects of resource allocation including the work with other agencies beyond education.</w:t>
      </w:r>
    </w:p>
    <w:p w14:paraId="61DFC3D6" w14:textId="77777777" w:rsidR="009626A7" w:rsidRPr="00584CEA" w:rsidRDefault="009626A7" w:rsidP="009626A7">
      <w:pPr>
        <w:pStyle w:val="Agency-body-text"/>
      </w:pPr>
      <w:proofErr w:type="gramStart"/>
      <w:r w:rsidRPr="00584CEA">
        <w:t>Policy-makers</w:t>
      </w:r>
      <w:proofErr w:type="gramEnd"/>
      <w:r w:rsidRPr="00584CEA">
        <w:t xml:space="preserve"> across Europe recognise that funding mechanisms are a critical lever in reducing disparity in education. They require more detailed information on the impact of funding mechanisms on inclusive education that can be used to guide their policy developments. The Financing Policies for Inclusive Education Systems (FPIES) project is a response to this identified policy need. </w:t>
      </w:r>
    </w:p>
    <w:p w14:paraId="6068E45F" w14:textId="77777777" w:rsidR="009626A7" w:rsidRPr="00584CEA" w:rsidRDefault="009626A7" w:rsidP="009626A7">
      <w:pPr>
        <w:pStyle w:val="Agency-body-text"/>
      </w:pPr>
      <w:r w:rsidRPr="00584CEA">
        <w:t>Project outputs include:</w:t>
      </w:r>
    </w:p>
    <w:p w14:paraId="330E057A" w14:textId="77777777" w:rsidR="009626A7" w:rsidRPr="00584CEA" w:rsidRDefault="009626A7" w:rsidP="009626A7">
      <w:pPr>
        <w:pStyle w:val="Agency-body-text"/>
        <w:numPr>
          <w:ilvl w:val="0"/>
          <w:numId w:val="38"/>
        </w:numPr>
      </w:pPr>
      <w:r w:rsidRPr="00584CEA">
        <w:t xml:space="preserve">Country study visit reports (accessible via the partner </w:t>
      </w:r>
      <w:hyperlink r:id="rId26" w:history="1">
        <w:r w:rsidRPr="00584CEA">
          <w:rPr>
            <w:rStyle w:val="Hyperlink"/>
          </w:rPr>
          <w:t>countries listed</w:t>
        </w:r>
      </w:hyperlink>
      <w:r w:rsidRPr="00584CEA">
        <w:t xml:space="preserve">) </w:t>
      </w:r>
    </w:p>
    <w:p w14:paraId="3BF4E18D" w14:textId="77777777" w:rsidR="009626A7" w:rsidRPr="00584CEA" w:rsidRDefault="009626A7" w:rsidP="009626A7">
      <w:pPr>
        <w:pStyle w:val="Agency-body-text"/>
        <w:numPr>
          <w:ilvl w:val="0"/>
          <w:numId w:val="38"/>
        </w:numPr>
      </w:pPr>
      <w:r w:rsidRPr="00584CEA">
        <w:t xml:space="preserve">The </w:t>
      </w:r>
      <w:hyperlink r:id="rId27" w:history="1">
        <w:r w:rsidRPr="00584CEA">
          <w:rPr>
            <w:rStyle w:val="Hyperlink"/>
          </w:rPr>
          <w:t>project synthesis report: Resourcing Levers to Reduce Disparity in Education</w:t>
        </w:r>
      </w:hyperlink>
      <w:r w:rsidRPr="00584CEA">
        <w:t xml:space="preserve"> presents an analysis of the findings emerging from all the FPIES project activities, country reports, study visits and study visit reports. The main findings and results are presented in a </w:t>
      </w:r>
      <w:hyperlink r:id="rId28" w:history="1">
        <w:r w:rsidRPr="00584CEA">
          <w:rPr>
            <w:rStyle w:val="Hyperlink"/>
          </w:rPr>
          <w:t>summary report</w:t>
        </w:r>
      </w:hyperlink>
      <w:r w:rsidRPr="00584CEA">
        <w:t xml:space="preserve"> which is available in 25 languages. </w:t>
      </w:r>
    </w:p>
    <w:p w14:paraId="3C7DBBF5" w14:textId="77777777" w:rsidR="009626A7" w:rsidRPr="00584CEA" w:rsidRDefault="009626A7" w:rsidP="009626A7">
      <w:pPr>
        <w:pStyle w:val="Agency-body-text"/>
        <w:numPr>
          <w:ilvl w:val="0"/>
          <w:numId w:val="38"/>
        </w:numPr>
      </w:pPr>
      <w:r w:rsidRPr="00584CEA">
        <w:t xml:space="preserve">The </w:t>
      </w:r>
      <w:hyperlink r:id="rId29" w:history="1">
        <w:r w:rsidRPr="00584CEA">
          <w:rPr>
            <w:rStyle w:val="Hyperlink"/>
          </w:rPr>
          <w:t>Policy Guidance Framework</w:t>
        </w:r>
      </w:hyperlink>
      <w:r w:rsidRPr="00584CEA">
        <w:t xml:space="preserve"> and a range of supporting materials are a main output of the FPIES project. This tool is based on meta-level findings, </w:t>
      </w:r>
      <w:proofErr w:type="gramStart"/>
      <w:r w:rsidRPr="00584CEA">
        <w:t>collected</w:t>
      </w:r>
      <w:proofErr w:type="gramEnd"/>
      <w:r w:rsidRPr="00584CEA">
        <w:t xml:space="preserve"> and analysed from across countries. The aim is to present guidance to policy makers for inclusive education. It was developed with and validated by the ministerial representatives of all Agency member countries. </w:t>
      </w:r>
    </w:p>
    <w:p w14:paraId="3EA088C3" w14:textId="77777777" w:rsidR="009626A7" w:rsidRPr="00584CEA" w:rsidRDefault="009626A7" w:rsidP="009626A7">
      <w:pPr>
        <w:pStyle w:val="Agency-body-text"/>
        <w:numPr>
          <w:ilvl w:val="0"/>
          <w:numId w:val="38"/>
        </w:numPr>
      </w:pPr>
      <w:r w:rsidRPr="00584CEA">
        <w:t xml:space="preserve">A </w:t>
      </w:r>
      <w:hyperlink r:id="rId30" w:history="1">
        <w:r w:rsidRPr="00584CEA">
          <w:rPr>
            <w:rStyle w:val="Hyperlink"/>
          </w:rPr>
          <w:t>flyer</w:t>
        </w:r>
      </w:hyperlink>
      <w:r w:rsidRPr="00584CEA">
        <w:t xml:space="preserve"> that introduces the FPIES project is also available. (EN)</w:t>
      </w:r>
    </w:p>
    <w:p w14:paraId="2FAB63C1" w14:textId="77777777" w:rsidR="009626A7" w:rsidRPr="00584CEA" w:rsidRDefault="009626A7" w:rsidP="009626A7">
      <w:pPr>
        <w:pStyle w:val="Agency-body-text"/>
        <w:numPr>
          <w:ilvl w:val="0"/>
          <w:numId w:val="39"/>
        </w:numPr>
      </w:pPr>
      <w:r w:rsidRPr="00584CEA">
        <w:lastRenderedPageBreak/>
        <w:t xml:space="preserve">This work builds on a one-year project from 2014-2015 </w:t>
      </w:r>
      <w:hyperlink r:id="rId31" w:history="1">
        <w:r w:rsidRPr="00584CEA">
          <w:rPr>
            <w:rStyle w:val="Hyperlink"/>
          </w:rPr>
          <w:t>Financing of Inclusive Education - Mapping Country Systems for Inclusive Education</w:t>
        </w:r>
      </w:hyperlink>
      <w:r w:rsidRPr="00584CEA">
        <w:t xml:space="preserve">. The project activities have led to </w:t>
      </w:r>
      <w:hyperlink r:id="rId32" w:history="1">
        <w:r w:rsidRPr="00584CEA">
          <w:rPr>
            <w:rStyle w:val="Hyperlink"/>
          </w:rPr>
          <w:t>country reports from and visual overviews of funding mechanisms of 18 Agency</w:t>
        </w:r>
      </w:hyperlink>
      <w:r w:rsidRPr="00584CEA">
        <w:t xml:space="preserve"> member countries using a template of questions for country reports. The country reports have addressed the following six key issues:</w:t>
      </w:r>
    </w:p>
    <w:p w14:paraId="5D1E9E74" w14:textId="77777777" w:rsidR="009626A7" w:rsidRPr="00584CEA" w:rsidRDefault="009626A7" w:rsidP="009626A7">
      <w:pPr>
        <w:pStyle w:val="Agency-body-text"/>
        <w:numPr>
          <w:ilvl w:val="0"/>
          <w:numId w:val="40"/>
        </w:numPr>
      </w:pPr>
      <w:r w:rsidRPr="00584CEA">
        <w:t>Does supplementary expenditure support inclusive education?</w:t>
      </w:r>
    </w:p>
    <w:p w14:paraId="7AB1C2F2" w14:textId="77777777" w:rsidR="009626A7" w:rsidRPr="00584CEA" w:rsidRDefault="009626A7" w:rsidP="009626A7">
      <w:pPr>
        <w:pStyle w:val="Agency-body-text"/>
        <w:numPr>
          <w:ilvl w:val="0"/>
          <w:numId w:val="40"/>
        </w:numPr>
      </w:pPr>
      <w:r w:rsidRPr="00584CEA">
        <w:t>Do funding mechanisms support inclusive education?</w:t>
      </w:r>
    </w:p>
    <w:p w14:paraId="1090B2F5" w14:textId="77777777" w:rsidR="009626A7" w:rsidRPr="00584CEA" w:rsidRDefault="009626A7" w:rsidP="009626A7">
      <w:pPr>
        <w:pStyle w:val="Agency-body-text"/>
        <w:numPr>
          <w:ilvl w:val="0"/>
          <w:numId w:val="40"/>
        </w:numPr>
      </w:pPr>
      <w:r w:rsidRPr="00584CEA">
        <w:t>Do modes of funding support capacity building of school staff?</w:t>
      </w:r>
    </w:p>
    <w:p w14:paraId="1A2E09FE" w14:textId="77777777" w:rsidR="009626A7" w:rsidRPr="00584CEA" w:rsidRDefault="009626A7" w:rsidP="009626A7">
      <w:pPr>
        <w:pStyle w:val="Agency-body-text"/>
        <w:numPr>
          <w:ilvl w:val="0"/>
          <w:numId w:val="40"/>
        </w:numPr>
      </w:pPr>
      <w:r w:rsidRPr="00584CEA">
        <w:t>Do governance procedures support co-ordinated provision?</w:t>
      </w:r>
    </w:p>
    <w:p w14:paraId="73421675" w14:textId="77777777" w:rsidR="009626A7" w:rsidRPr="00584CEA" w:rsidRDefault="009626A7" w:rsidP="009626A7">
      <w:pPr>
        <w:pStyle w:val="Agency-body-text"/>
        <w:numPr>
          <w:ilvl w:val="0"/>
          <w:numId w:val="40"/>
        </w:numPr>
      </w:pPr>
      <w:r w:rsidRPr="00584CEA">
        <w:t>Does financing of inclusive education support the right to education and social participation?</w:t>
      </w:r>
    </w:p>
    <w:p w14:paraId="496487C1" w14:textId="77777777" w:rsidR="009626A7" w:rsidRPr="00584CEA" w:rsidRDefault="009626A7" w:rsidP="009626A7">
      <w:pPr>
        <w:pStyle w:val="Agency-body-text"/>
        <w:numPr>
          <w:ilvl w:val="0"/>
          <w:numId w:val="40"/>
        </w:numPr>
      </w:pPr>
      <w:r w:rsidRPr="00584CEA">
        <w:t>Do monitoring and accountability mechanisms support effective and cost-effective inclusive education policies?</w:t>
      </w:r>
    </w:p>
    <w:p w14:paraId="30B8DDB1" w14:textId="77777777" w:rsidR="009626A7" w:rsidRPr="00584CEA" w:rsidRDefault="009626A7" w:rsidP="009626A7">
      <w:pPr>
        <w:pStyle w:val="Agency-body-text"/>
        <w:numPr>
          <w:ilvl w:val="0"/>
          <w:numId w:val="41"/>
        </w:numPr>
      </w:pPr>
      <w:r w:rsidRPr="00584CEA">
        <w:t xml:space="preserve">The </w:t>
      </w:r>
      <w:hyperlink r:id="rId33" w:history="1">
        <w:r w:rsidRPr="00584CEA">
          <w:rPr>
            <w:rStyle w:val="Hyperlink"/>
          </w:rPr>
          <w:t>final report</w:t>
        </w:r>
      </w:hyperlink>
      <w:r w:rsidRPr="00584CEA">
        <w:t xml:space="preserve"> focuses on funding mechanisms within the systems of inclusive education, targeted at meeting the needs of learners with recognised special educational needs.</w:t>
      </w:r>
    </w:p>
    <w:p w14:paraId="48CBB9B8" w14:textId="77777777" w:rsidR="00887819" w:rsidRPr="00584CEA" w:rsidRDefault="00887819" w:rsidP="00887819">
      <w:pPr>
        <w:pStyle w:val="Agency-heading-2"/>
        <w:rPr>
          <w:rFonts w:ascii="Segoe UI" w:hAnsi="Segoe UI" w:cs="Segoe UI"/>
          <w:sz w:val="18"/>
          <w:szCs w:val="18"/>
        </w:rPr>
      </w:pPr>
      <w:bookmarkStart w:id="7" w:name="_Toc70066603"/>
      <w:bookmarkStart w:id="8" w:name="_Toc71558856"/>
      <w:bookmarkStart w:id="9" w:name="_Toc117854283"/>
      <w:r w:rsidRPr="00584CEA">
        <w:rPr>
          <w:rStyle w:val="apple-converted-space"/>
          <w:rFonts w:cs="Calibri"/>
        </w:rPr>
        <w:t>M</w:t>
      </w:r>
      <w:r w:rsidRPr="00584CEA">
        <w:rPr>
          <w:rStyle w:val="normaltextrun"/>
          <w:rFonts w:cs="Calibri"/>
        </w:rPr>
        <w:t>onitoring, quality assurance and accountability</w:t>
      </w:r>
      <w:bookmarkEnd w:id="7"/>
      <w:bookmarkEnd w:id="8"/>
      <w:bookmarkEnd w:id="9"/>
      <w:r w:rsidRPr="00584CEA">
        <w:rPr>
          <w:rStyle w:val="eop"/>
          <w:rFonts w:cs="Calibri"/>
        </w:rPr>
        <w:t> </w:t>
      </w:r>
    </w:p>
    <w:p w14:paraId="4AA0B22B" w14:textId="1BC76212" w:rsidR="00887819" w:rsidRPr="00584CEA" w:rsidRDefault="00887819" w:rsidP="00887819">
      <w:pPr>
        <w:pStyle w:val="Agency-body-text"/>
        <w:rPr>
          <w:rStyle w:val="eop"/>
          <w:i/>
        </w:rPr>
      </w:pPr>
      <w:r w:rsidRPr="00584CEA">
        <w:rPr>
          <w:rStyle w:val="normaltextrun"/>
          <w:i/>
        </w:rPr>
        <w:t>4</w:t>
      </w:r>
      <w:r w:rsidRPr="00584CEA">
        <w:rPr>
          <w:rStyle w:val="normaltextrun"/>
          <w:i/>
          <w:vertAlign w:val="superscript"/>
        </w:rPr>
        <w:t>th</w:t>
      </w:r>
      <w:r w:rsidRPr="00584CEA">
        <w:rPr>
          <w:rStyle w:val="normaltextrun"/>
          <w:i/>
        </w:rPr>
        <w:t xml:space="preserve"> Standard: Stakeholders collect and effectively use reliable and relevant information for monitoring, quality assurance and accountability purposes.</w:t>
      </w:r>
      <w:r w:rsidRPr="00584CEA">
        <w:rPr>
          <w:rStyle w:val="eop"/>
          <w:i/>
        </w:rPr>
        <w:t xml:space="preserve"> </w:t>
      </w:r>
      <w:r w:rsidRPr="00584CEA">
        <w:rPr>
          <w:rStyle w:val="normaltextrun"/>
          <w:i/>
        </w:rPr>
        <w:t>The key issue for this standard is the effectiveness of educational governance and quality assurance and accountability</w:t>
      </w:r>
      <w:r w:rsidRPr="00584CEA">
        <w:rPr>
          <w:rStyle w:val="apple-converted-space"/>
          <w:i/>
        </w:rPr>
        <w:t> </w:t>
      </w:r>
      <w:r w:rsidRPr="00584CEA">
        <w:rPr>
          <w:rStyle w:val="normaltextrun"/>
          <w:i/>
        </w:rPr>
        <w:t>processes at all system levels</w:t>
      </w:r>
      <w:r w:rsidRPr="00584CEA">
        <w:rPr>
          <w:rStyle w:val="eop"/>
          <w:i/>
        </w:rPr>
        <w:t>.</w:t>
      </w:r>
    </w:p>
    <w:p w14:paraId="484CB70F" w14:textId="1DA8D6D6" w:rsidR="009626A7" w:rsidRPr="009626A7" w:rsidRDefault="00000000" w:rsidP="009626A7">
      <w:pPr>
        <w:pStyle w:val="Agency-body-text"/>
      </w:pPr>
      <w:hyperlink r:id="rId34" w:history="1">
        <w:r w:rsidR="009626A7" w:rsidRPr="009626A7">
          <w:rPr>
            <w:rStyle w:val="Hyperlink"/>
          </w:rPr>
          <w:t>Raising the Achievement of All Learners: A Resource to Support Self-Review</w:t>
        </w:r>
      </w:hyperlink>
      <w:r w:rsidR="009626A7" w:rsidRPr="009626A7">
        <w:t xml:space="preserve"> focuses on the key role of school self-review in on-going school improvement activity. It includes school self-review materials, developed during the Raising the Achievement of All Learners in Inclusive Education (RA) project.</w:t>
      </w:r>
    </w:p>
    <w:p w14:paraId="42179F27" w14:textId="77777777" w:rsidR="009626A7" w:rsidRPr="009626A7" w:rsidRDefault="009626A7" w:rsidP="009626A7">
      <w:pPr>
        <w:pStyle w:val="Agency-body-text"/>
      </w:pPr>
      <w:r w:rsidRPr="009626A7">
        <w:t>These materials are presented as an open educational resource in both Word and PDF format, so they can be adapted in line with local needs and priorities. The self-review document aims to support learning communities to assess areas that are important in both inclusive practice and raising achievement.</w:t>
      </w:r>
    </w:p>
    <w:p w14:paraId="1F4179CE" w14:textId="3E12B43E" w:rsidR="009626A7" w:rsidRPr="00584CEA" w:rsidRDefault="009626A7" w:rsidP="009626A7">
      <w:pPr>
        <w:pStyle w:val="Agency-body-text"/>
      </w:pPr>
      <w:r w:rsidRPr="009626A7">
        <w:t xml:space="preserve">The RA self-review was designed to be used with a range of stakeholders (for example: leaders, teachers, support staff, </w:t>
      </w:r>
      <w:proofErr w:type="gramStart"/>
      <w:r w:rsidRPr="009626A7">
        <w:t>parents</w:t>
      </w:r>
      <w:proofErr w:type="gramEnd"/>
      <w:r w:rsidRPr="009626A7">
        <w:t xml:space="preserve"> and other community members, including other professionals and local employers working with the school)</w:t>
      </w:r>
      <w:r w:rsidR="00BD0852" w:rsidRPr="00584CEA">
        <w:t>.</w:t>
      </w:r>
    </w:p>
    <w:p w14:paraId="59107E79" w14:textId="22545B62" w:rsidR="00BD0852" w:rsidRPr="00BD0852" w:rsidRDefault="00BD0852" w:rsidP="00BD0852">
      <w:pPr>
        <w:pStyle w:val="Agency-body-text"/>
      </w:pPr>
      <w:r w:rsidRPr="00584CEA">
        <w:t xml:space="preserve">The </w:t>
      </w:r>
      <w:hyperlink r:id="rId35" w:history="1">
        <w:r w:rsidRPr="00584CEA">
          <w:rPr>
            <w:rStyle w:val="Hyperlink"/>
          </w:rPr>
          <w:t>Teacher Professional Learning for Inclusion: Policy Self-Review Tool</w:t>
        </w:r>
      </w:hyperlink>
      <w:r w:rsidRPr="00584CEA">
        <w:rPr>
          <w:b/>
          <w:bCs/>
        </w:rPr>
        <w:t xml:space="preserve"> </w:t>
      </w:r>
      <w:r w:rsidRPr="00BD0852">
        <w:t>indicates different policy priorities. These priorities address policy elements that are important for developing policy to support teacher professional learning for inclusion.</w:t>
      </w:r>
      <w:r w:rsidRPr="00BD0852">
        <w:br/>
        <w:t> </w:t>
      </w:r>
      <w:r w:rsidRPr="00BD0852">
        <w:br/>
        <w:t>The TPL4I Policy Self-Review Tool’s main components are:</w:t>
      </w:r>
    </w:p>
    <w:p w14:paraId="68D0DF04" w14:textId="77777777" w:rsidR="00BD0852" w:rsidRPr="00BD0852" w:rsidRDefault="00BD0852" w:rsidP="00BD0852">
      <w:pPr>
        <w:pStyle w:val="Agency-body-text"/>
        <w:numPr>
          <w:ilvl w:val="0"/>
          <w:numId w:val="42"/>
        </w:numPr>
      </w:pPr>
      <w:r w:rsidRPr="00BD0852">
        <w:t>Vision and main principles of TPL4I policy</w:t>
      </w:r>
    </w:p>
    <w:p w14:paraId="30088E58" w14:textId="77777777" w:rsidR="00BD0852" w:rsidRPr="00BD0852" w:rsidRDefault="00BD0852" w:rsidP="00BD0852">
      <w:pPr>
        <w:pStyle w:val="Agency-body-text"/>
        <w:numPr>
          <w:ilvl w:val="0"/>
          <w:numId w:val="42"/>
        </w:numPr>
      </w:pPr>
      <w:r w:rsidRPr="00BD0852">
        <w:t>Goals and continuum of support of TPL4I policy</w:t>
      </w:r>
    </w:p>
    <w:p w14:paraId="5349A367" w14:textId="77777777" w:rsidR="00BD0852" w:rsidRPr="00BD0852" w:rsidRDefault="00BD0852" w:rsidP="00BD0852">
      <w:pPr>
        <w:pStyle w:val="Agency-body-text"/>
        <w:numPr>
          <w:ilvl w:val="0"/>
          <w:numId w:val="42"/>
        </w:numPr>
      </w:pPr>
      <w:r w:rsidRPr="00BD0852">
        <w:lastRenderedPageBreak/>
        <w:t xml:space="preserve">Capacity building, </w:t>
      </w:r>
      <w:proofErr w:type="gramStart"/>
      <w:r w:rsidRPr="00BD0852">
        <w:t>funding</w:t>
      </w:r>
      <w:proofErr w:type="gramEnd"/>
      <w:r w:rsidRPr="00BD0852">
        <w:t xml:space="preserve"> and monitoring of TPL4I policy.</w:t>
      </w:r>
    </w:p>
    <w:p w14:paraId="4B0E93AA" w14:textId="77777777" w:rsidR="00BD0852" w:rsidRPr="00BD0852" w:rsidRDefault="00BD0852" w:rsidP="00BD0852">
      <w:pPr>
        <w:pStyle w:val="Agency-body-text"/>
      </w:pPr>
      <w:r w:rsidRPr="00BD0852">
        <w:t xml:space="preserve">The TPL4I Policy Self-Review Tool is </w:t>
      </w:r>
      <w:proofErr w:type="gramStart"/>
      <w:r w:rsidRPr="00BD0852">
        <w:t>open-source</w:t>
      </w:r>
      <w:proofErr w:type="gramEnd"/>
      <w:r w:rsidRPr="00BD0852">
        <w:t xml:space="preserve">. This means users can adapt it to their own needs and contexts, provided they include a reference to the original source. </w:t>
      </w:r>
      <w:proofErr w:type="gramStart"/>
      <w:r w:rsidRPr="00BD0852">
        <w:t>Policy-makers</w:t>
      </w:r>
      <w:proofErr w:type="gramEnd"/>
      <w:r w:rsidRPr="00BD0852">
        <w:t xml:space="preserve"> can use it to review policy on teacher professional learning for inclusion.</w:t>
      </w:r>
    </w:p>
    <w:p w14:paraId="31FC3C6F" w14:textId="6DF7C277" w:rsidR="00BD0852" w:rsidRPr="00BD0852" w:rsidRDefault="00BD0852" w:rsidP="00BD0852">
      <w:pPr>
        <w:pStyle w:val="Agency-body-text"/>
      </w:pPr>
      <w:r w:rsidRPr="00584CEA">
        <w:t xml:space="preserve">The </w:t>
      </w:r>
      <w:r w:rsidRPr="00BD0852">
        <w:t>Financing Policies for Inclusive Education Systems: Financing Policy Self-Review Tool</w:t>
      </w:r>
      <w:r w:rsidRPr="00BD0852">
        <w:rPr>
          <w:b/>
        </w:rPr>
        <w:t xml:space="preserve"> </w:t>
      </w:r>
      <w:r w:rsidRPr="00BD0852">
        <w:t>presents a self-review tool that can be used to explore policy questions in relation to financing inclusive education systems. This self-review tool has been developed </w:t>
      </w:r>
      <w:proofErr w:type="spellStart"/>
      <w:r w:rsidRPr="00BD0852">
        <w:t>developed</w:t>
      </w:r>
      <w:proofErr w:type="spellEnd"/>
      <w:r w:rsidRPr="00BD0852">
        <w:t xml:space="preserve"> in the framework of the Financing Policies for Inclusive Education Systems (FPIES) project, and is part of the FPIES </w:t>
      </w:r>
      <w:hyperlink r:id="rId36" w:history="1">
        <w:r w:rsidRPr="00BD0852">
          <w:rPr>
            <w:rStyle w:val="Hyperlink"/>
          </w:rPr>
          <w:t>Policy Guidance Framework</w:t>
        </w:r>
      </w:hyperlink>
      <w:r w:rsidRPr="00BD0852">
        <w:t>. The tool is designed to be used by policy-makers responsible for developing and implementing policies for inclusive education at national, regional and/or local levels. </w:t>
      </w:r>
    </w:p>
    <w:p w14:paraId="34A73D99" w14:textId="77777777" w:rsidR="00BD0852" w:rsidRPr="00BD0852" w:rsidRDefault="00BD0852" w:rsidP="00BD0852">
      <w:pPr>
        <w:pStyle w:val="Agency-body-text"/>
      </w:pPr>
      <w:r w:rsidRPr="00BD0852">
        <w:t>The tool has the clear intention of supporting reflection on financing policies for inclusive education with decision-makers working in different social sectors – education, health, welfare, etc. – at national, regional and/or local levels.</w:t>
      </w:r>
    </w:p>
    <w:p w14:paraId="0EF2F72B" w14:textId="77777777" w:rsidR="00BD0852" w:rsidRPr="00BD0852" w:rsidRDefault="00BD0852" w:rsidP="00BD0852">
      <w:pPr>
        <w:pStyle w:val="Agency-body-text"/>
      </w:pPr>
      <w:r w:rsidRPr="00BD0852">
        <w:t>For more information about the project, visit the </w:t>
      </w:r>
      <w:hyperlink r:id="rId37" w:history="1">
        <w:r w:rsidRPr="00BD0852">
          <w:rPr>
            <w:rStyle w:val="Hyperlink"/>
          </w:rPr>
          <w:t>FPIES project web area</w:t>
        </w:r>
      </w:hyperlink>
      <w:r w:rsidRPr="00BD0852">
        <w:t>.</w:t>
      </w:r>
    </w:p>
    <w:p w14:paraId="1A00E545" w14:textId="77777777" w:rsidR="00BD0852" w:rsidRPr="00BD0852" w:rsidRDefault="00BD0852" w:rsidP="00BD0852">
      <w:pPr>
        <w:pStyle w:val="Agency-body-text"/>
      </w:pPr>
      <w:r w:rsidRPr="00BD0852">
        <w:t>The Self-Review Tool is open-source and can be adapted and developed to meet specific country or local situations as needed, provided a reference to the original source is given. It is available for download as a Word file in the official Agency languages.</w:t>
      </w:r>
    </w:p>
    <w:p w14:paraId="76A1A76E" w14:textId="77777777" w:rsidR="00887819" w:rsidRPr="00584CEA" w:rsidRDefault="00887819" w:rsidP="00887819">
      <w:pPr>
        <w:pStyle w:val="Agency-heading-2"/>
      </w:pPr>
      <w:bookmarkStart w:id="10" w:name="_Toc71558857"/>
      <w:bookmarkStart w:id="11" w:name="_Toc117854284"/>
      <w:r w:rsidRPr="00584CEA">
        <w:t>Professional development</w:t>
      </w:r>
      <w:bookmarkEnd w:id="10"/>
      <w:bookmarkEnd w:id="11"/>
      <w:r w:rsidRPr="00584CEA">
        <w:t xml:space="preserve"> </w:t>
      </w:r>
    </w:p>
    <w:p w14:paraId="32A12451" w14:textId="3CB238FB" w:rsidR="00887819" w:rsidRPr="00584CEA" w:rsidRDefault="00887819" w:rsidP="00887819">
      <w:pPr>
        <w:pStyle w:val="Agency-body-text"/>
      </w:pPr>
      <w:r w:rsidRPr="00584CEA">
        <w:rPr>
          <w:i/>
        </w:rPr>
        <w:t>5</w:t>
      </w:r>
      <w:r w:rsidRPr="00584CEA">
        <w:rPr>
          <w:i/>
          <w:vertAlign w:val="superscript"/>
        </w:rPr>
        <w:t>th</w:t>
      </w:r>
      <w:r w:rsidRPr="00584CEA">
        <w:rPr>
          <w:i/>
        </w:rPr>
        <w:t xml:space="preserve"> standard:</w:t>
      </w:r>
      <w:r w:rsidRPr="00584CEA">
        <w:t xml:space="preserve"> Professional development issues at all system levels are effectively addressed. The key issues for this standard are how stakeholders at all levels are enabled through their initial education, continuing professional development and exchange mechanisms to implement inclusive education as a rights-based approach for all learners.</w:t>
      </w:r>
    </w:p>
    <w:p w14:paraId="7EB75AD0" w14:textId="7D84E42D" w:rsidR="00887819" w:rsidRPr="00887819" w:rsidRDefault="00887819" w:rsidP="00887819">
      <w:pPr>
        <w:pStyle w:val="Agency-body-text"/>
      </w:pPr>
      <w:r w:rsidRPr="00887819">
        <w:t>The Teacher Professional Learning for Inclusion (TPL4I) project aimed to identify the essential policy elements needed to prepare all teachers to include all learners.</w:t>
      </w:r>
    </w:p>
    <w:p w14:paraId="5B23D107" w14:textId="77777777" w:rsidR="00887819" w:rsidRPr="00887819" w:rsidRDefault="00887819" w:rsidP="00887819">
      <w:pPr>
        <w:pStyle w:val="Agency-body-text"/>
      </w:pPr>
      <w:r w:rsidRPr="00887819">
        <w:t>The following outputs are available which may be useful for you:</w:t>
      </w:r>
    </w:p>
    <w:p w14:paraId="0816CFF0" w14:textId="77777777" w:rsidR="00887819" w:rsidRPr="00887819" w:rsidRDefault="00887819" w:rsidP="00887819">
      <w:pPr>
        <w:pStyle w:val="Agency-body-text"/>
        <w:numPr>
          <w:ilvl w:val="0"/>
          <w:numId w:val="36"/>
        </w:numPr>
      </w:pPr>
      <w:r w:rsidRPr="00887819">
        <w:t xml:space="preserve">a </w:t>
      </w:r>
      <w:hyperlink r:id="rId38" w:history="1">
        <w:r w:rsidRPr="00887819">
          <w:rPr>
            <w:rStyle w:val="Hyperlink"/>
          </w:rPr>
          <w:t>literature review</w:t>
        </w:r>
      </w:hyperlink>
      <w:r w:rsidRPr="00887819">
        <w:t xml:space="preserve"> on international policy for TPL for inclusion and research policy recommendations; (EN only)</w:t>
      </w:r>
    </w:p>
    <w:p w14:paraId="6E33EE38" w14:textId="77777777" w:rsidR="00887819" w:rsidRPr="00887819" w:rsidRDefault="00000000" w:rsidP="00887819">
      <w:pPr>
        <w:pStyle w:val="Agency-body-text"/>
        <w:numPr>
          <w:ilvl w:val="0"/>
          <w:numId w:val="36"/>
        </w:numPr>
      </w:pPr>
      <w:hyperlink r:id="rId39" w:history="1">
        <w:r w:rsidR="00887819" w:rsidRPr="00887819">
          <w:rPr>
            <w:rStyle w:val="Hyperlink"/>
          </w:rPr>
          <w:t>policy mapping grids</w:t>
        </w:r>
      </w:hyperlink>
      <w:r w:rsidR="00887819" w:rsidRPr="00887819">
        <w:t xml:space="preserve"> outlining countries’ policy information on TPL for inclusion; (including the Czech Republic and 25 other Agency countries for comparison)</w:t>
      </w:r>
    </w:p>
    <w:p w14:paraId="5946D7D9" w14:textId="77777777" w:rsidR="00887819" w:rsidRPr="00887819" w:rsidRDefault="00887819" w:rsidP="00887819">
      <w:pPr>
        <w:pStyle w:val="Agency-body-text"/>
        <w:numPr>
          <w:ilvl w:val="0"/>
          <w:numId w:val="36"/>
        </w:numPr>
      </w:pPr>
      <w:r w:rsidRPr="00887819">
        <w:t xml:space="preserve">a </w:t>
      </w:r>
      <w:hyperlink r:id="rId40" w:history="1">
        <w:r w:rsidRPr="00887819">
          <w:rPr>
            <w:rStyle w:val="Hyperlink"/>
          </w:rPr>
          <w:t>policy self-review tool</w:t>
        </w:r>
      </w:hyperlink>
      <w:r w:rsidRPr="00887819">
        <w:t xml:space="preserve"> for TPL for inclusion based on the initial mapping grid; (EN only, open source)</w:t>
      </w:r>
    </w:p>
    <w:p w14:paraId="0DD38344" w14:textId="77777777" w:rsidR="00887819" w:rsidRPr="00887819" w:rsidRDefault="00887819" w:rsidP="00887819">
      <w:pPr>
        <w:pStyle w:val="Agency-body-text"/>
      </w:pPr>
      <w:r w:rsidRPr="00887819">
        <w:t>The TPL4I Policy Self-Review Tool’s main components are:</w:t>
      </w:r>
    </w:p>
    <w:p w14:paraId="065F7C9B" w14:textId="77777777" w:rsidR="00887819" w:rsidRPr="00887819" w:rsidRDefault="00887819" w:rsidP="00887819">
      <w:pPr>
        <w:pStyle w:val="Agency-body-text"/>
        <w:numPr>
          <w:ilvl w:val="1"/>
          <w:numId w:val="36"/>
        </w:numPr>
      </w:pPr>
      <w:r w:rsidRPr="00887819">
        <w:t>Vision and main principles of TPL4I policy</w:t>
      </w:r>
    </w:p>
    <w:p w14:paraId="183C02EE" w14:textId="77777777" w:rsidR="00887819" w:rsidRPr="00887819" w:rsidRDefault="00887819" w:rsidP="00887819">
      <w:pPr>
        <w:pStyle w:val="Agency-body-text"/>
        <w:numPr>
          <w:ilvl w:val="1"/>
          <w:numId w:val="36"/>
        </w:numPr>
      </w:pPr>
      <w:r w:rsidRPr="00887819">
        <w:t>Goals and continuum of support of TPL4I policy</w:t>
      </w:r>
    </w:p>
    <w:p w14:paraId="514915EA" w14:textId="77777777" w:rsidR="00887819" w:rsidRPr="00887819" w:rsidRDefault="00887819" w:rsidP="00887819">
      <w:pPr>
        <w:pStyle w:val="Agency-body-text"/>
        <w:numPr>
          <w:ilvl w:val="1"/>
          <w:numId w:val="36"/>
        </w:numPr>
      </w:pPr>
      <w:r w:rsidRPr="00887819">
        <w:t xml:space="preserve">Capacity building, </w:t>
      </w:r>
      <w:proofErr w:type="gramStart"/>
      <w:r w:rsidRPr="00887819">
        <w:t>funding</w:t>
      </w:r>
      <w:proofErr w:type="gramEnd"/>
      <w:r w:rsidRPr="00887819">
        <w:t xml:space="preserve"> and monitoring of TPL4I policy.</w:t>
      </w:r>
    </w:p>
    <w:p w14:paraId="7BDA8759" w14:textId="77777777" w:rsidR="00887819" w:rsidRPr="00887819" w:rsidRDefault="00887819" w:rsidP="00887819">
      <w:pPr>
        <w:pStyle w:val="Agency-body-text"/>
        <w:numPr>
          <w:ilvl w:val="0"/>
          <w:numId w:val="36"/>
        </w:numPr>
      </w:pPr>
      <w:r w:rsidRPr="00887819">
        <w:t xml:space="preserve">a </w:t>
      </w:r>
      <w:hyperlink r:id="rId41" w:history="1">
        <w:r w:rsidRPr="00887819">
          <w:rPr>
            <w:rStyle w:val="Hyperlink"/>
          </w:rPr>
          <w:t>project synthesis report</w:t>
        </w:r>
      </w:hyperlink>
      <w:r w:rsidRPr="00887819">
        <w:t xml:space="preserve"> summarising policy development in Europe; (EN only)</w:t>
      </w:r>
    </w:p>
    <w:p w14:paraId="09875D44" w14:textId="77777777" w:rsidR="00887819" w:rsidRPr="00887819" w:rsidRDefault="00887819" w:rsidP="00887819">
      <w:pPr>
        <w:pStyle w:val="Agency-body-text"/>
        <w:numPr>
          <w:ilvl w:val="0"/>
          <w:numId w:val="36"/>
        </w:numPr>
      </w:pPr>
      <w:r w:rsidRPr="00887819">
        <w:t xml:space="preserve">a </w:t>
      </w:r>
      <w:hyperlink r:id="rId42" w:history="1">
        <w:r w:rsidRPr="00887819">
          <w:rPr>
            <w:rStyle w:val="Hyperlink"/>
          </w:rPr>
          <w:t>methodology report</w:t>
        </w:r>
      </w:hyperlink>
      <w:r w:rsidRPr="00887819">
        <w:t xml:space="preserve"> describing the approach behind the TPL4I work; (EN only)</w:t>
      </w:r>
    </w:p>
    <w:p w14:paraId="2911BDF7" w14:textId="77777777" w:rsidR="00887819" w:rsidRPr="00887819" w:rsidRDefault="00887819" w:rsidP="00887819">
      <w:pPr>
        <w:pStyle w:val="Agency-body-text"/>
        <w:numPr>
          <w:ilvl w:val="0"/>
          <w:numId w:val="36"/>
        </w:numPr>
      </w:pPr>
      <w:r w:rsidRPr="00887819">
        <w:lastRenderedPageBreak/>
        <w:t xml:space="preserve">a </w:t>
      </w:r>
      <w:hyperlink r:id="rId43" w:history="1">
        <w:r w:rsidRPr="00887819">
          <w:rPr>
            <w:rStyle w:val="Hyperlink"/>
          </w:rPr>
          <w:t>final summary report</w:t>
        </w:r>
      </w:hyperlink>
      <w:r w:rsidRPr="00887819">
        <w:t xml:space="preserve"> covering phase 1 findings. (</w:t>
      </w:r>
      <w:proofErr w:type="gramStart"/>
      <w:r w:rsidRPr="00887819">
        <w:t>short</w:t>
      </w:r>
      <w:proofErr w:type="gramEnd"/>
      <w:r w:rsidRPr="00887819">
        <w:t xml:space="preserve"> summary of all project activities in EN and CS)</w:t>
      </w:r>
    </w:p>
    <w:p w14:paraId="28B1726A" w14:textId="1FB5A72D" w:rsidR="00887819" w:rsidRPr="00887819" w:rsidRDefault="00887819" w:rsidP="00887819">
      <w:pPr>
        <w:pStyle w:val="Agency-body-text"/>
      </w:pPr>
      <w:r w:rsidRPr="00887819">
        <w:t xml:space="preserve">This project work is now in </w:t>
      </w:r>
      <w:r w:rsidRPr="00584CEA">
        <w:t>its</w:t>
      </w:r>
      <w:r w:rsidRPr="00887819">
        <w:t xml:space="preserve"> second phase. </w:t>
      </w:r>
    </w:p>
    <w:p w14:paraId="3A7F2380" w14:textId="08523F64" w:rsidR="00887819" w:rsidRPr="00887819" w:rsidRDefault="00887819" w:rsidP="00887819">
      <w:pPr>
        <w:pStyle w:val="Agency-body-text"/>
      </w:pPr>
      <w:r w:rsidRPr="00887819">
        <w:t xml:space="preserve">In 2016 the Agency </w:t>
      </w:r>
      <w:r w:rsidR="36CA3B6A" w:rsidRPr="00584CEA">
        <w:t>conducted</w:t>
      </w:r>
      <w:r w:rsidRPr="00887819">
        <w:t xml:space="preserve"> a project on behalf of UNESCO: </w:t>
      </w:r>
      <w:hyperlink r:id="rId44">
        <w:r w:rsidRPr="00584CEA">
          <w:rPr>
            <w:rStyle w:val="Hyperlink"/>
          </w:rPr>
          <w:t>Inclusive Education in Action website: Empowering Teachers: Empowering Learners</w:t>
        </w:r>
      </w:hyperlink>
      <w:r w:rsidRPr="00584CEA">
        <w:t>.</w:t>
      </w:r>
      <w:r w:rsidRPr="00887819">
        <w:t xml:space="preserve"> In addition to the website, the </w:t>
      </w:r>
      <w:hyperlink r:id="rId45" w:history="1">
        <w:r w:rsidRPr="00887819">
          <w:rPr>
            <w:rStyle w:val="Hyperlink"/>
          </w:rPr>
          <w:t>case study and literature review</w:t>
        </w:r>
      </w:hyperlink>
      <w:r w:rsidRPr="00887819">
        <w:t xml:space="preserve"> is available in EN. </w:t>
      </w:r>
    </w:p>
    <w:p w14:paraId="3A81BAEB" w14:textId="3FAEC4BB" w:rsidR="00887819" w:rsidRPr="00584CEA" w:rsidRDefault="00887819" w:rsidP="00887819">
      <w:pPr>
        <w:pStyle w:val="Agency-body-text"/>
      </w:pPr>
      <w:r w:rsidRPr="00887819">
        <w:t xml:space="preserve">All of the above work build on the main output of a previous project (2012), the </w:t>
      </w:r>
      <w:hyperlink r:id="rId46" w:history="1">
        <w:r w:rsidRPr="00887819">
          <w:rPr>
            <w:rStyle w:val="Hyperlink"/>
          </w:rPr>
          <w:t>Profile for Inclusive Teachers</w:t>
        </w:r>
      </w:hyperlink>
      <w:r w:rsidRPr="00887819">
        <w:t xml:space="preserve"> (EN &amp; CS). It is a </w:t>
      </w:r>
      <w:proofErr w:type="spellStart"/>
      <w:r w:rsidRPr="00887819">
        <w:t>a</w:t>
      </w:r>
      <w:proofErr w:type="spellEnd"/>
      <w:r w:rsidRPr="00887819">
        <w:t xml:space="preserve"> guide for the design and implementation of initial teacher education (ITE) programmes for all teachers. The intention is that the Profile should be considered as stimulus material for identifying relevant content, planning </w:t>
      </w:r>
      <w:proofErr w:type="gramStart"/>
      <w:r w:rsidRPr="00887819">
        <w:t>methods</w:t>
      </w:r>
      <w:proofErr w:type="gramEnd"/>
      <w:r w:rsidRPr="00887819">
        <w:t xml:space="preserve"> and specifying desired learning outcomes for ITE and not a script for ITE programme content. </w:t>
      </w:r>
    </w:p>
    <w:p w14:paraId="65B5DC38" w14:textId="6AE36BD0" w:rsidR="009626A7" w:rsidRPr="00584CEA" w:rsidRDefault="009626A7" w:rsidP="009626A7">
      <w:pPr>
        <w:pStyle w:val="Agency-body-text"/>
      </w:pPr>
      <w:r w:rsidRPr="009626A7">
        <w:t xml:space="preserve">The </w:t>
      </w:r>
      <w:hyperlink r:id="rId47" w:history="1">
        <w:r w:rsidRPr="009626A7">
          <w:rPr>
            <w:rStyle w:val="Hyperlink"/>
          </w:rPr>
          <w:t>Supporting Inclusive School Leadership</w:t>
        </w:r>
      </w:hyperlink>
      <w:r w:rsidRPr="009626A7">
        <w:t xml:space="preserve"> (SISL) project aims to investigate how to develop and promote inclusive school-level leadership through national and local-level policy frameworks and support mechanisms. </w:t>
      </w:r>
      <w:r w:rsidRPr="00584CEA">
        <w:t>The project considers leadership for inclusion aimed at addressing inequality and building community and full participation. It focuses on valued outcomes for all learners, including those most vulnerable to exclusion.</w:t>
      </w:r>
    </w:p>
    <w:p w14:paraId="51AD9CFF" w14:textId="23A21333" w:rsidR="009626A7" w:rsidRPr="009626A7" w:rsidRDefault="009626A7" w:rsidP="009626A7">
      <w:pPr>
        <w:pStyle w:val="Agency-body-text"/>
      </w:pPr>
      <w:r w:rsidRPr="00584CEA">
        <w:t>T</w:t>
      </w:r>
      <w:r w:rsidRPr="009626A7">
        <w:t xml:space="preserve">he research for the </w:t>
      </w:r>
      <w:hyperlink r:id="rId48" w:history="1">
        <w:r w:rsidRPr="009626A7">
          <w:rPr>
            <w:rStyle w:val="Hyperlink"/>
          </w:rPr>
          <w:t>literature review</w:t>
        </w:r>
      </w:hyperlink>
      <w:r w:rsidRPr="00584CEA">
        <w:t>,</w:t>
      </w:r>
      <w:r w:rsidRPr="009626A7">
        <w:t xml:space="preserve"> </w:t>
      </w:r>
      <w:hyperlink r:id="rId49" w:history="1">
        <w:r w:rsidRPr="009626A7">
          <w:rPr>
            <w:rStyle w:val="Hyperlink"/>
          </w:rPr>
          <w:t>policy review</w:t>
        </w:r>
      </w:hyperlink>
      <w:r w:rsidRPr="009626A7">
        <w:t xml:space="preserve"> </w:t>
      </w:r>
      <w:r w:rsidRPr="00584CEA">
        <w:t xml:space="preserve">and </w:t>
      </w:r>
      <w:hyperlink r:id="rId50" w:history="1">
        <w:r w:rsidRPr="00584CEA">
          <w:rPr>
            <w:rStyle w:val="Hyperlink"/>
          </w:rPr>
          <w:t>synthesis report</w:t>
        </w:r>
      </w:hyperlink>
      <w:r w:rsidRPr="00584CEA">
        <w:t xml:space="preserve">, </w:t>
      </w:r>
      <w:r w:rsidRPr="009626A7">
        <w:t>provided a working definition of inclusive school leadership</w:t>
      </w:r>
      <w:r w:rsidRPr="00584CEA">
        <w:t xml:space="preserve"> as well as a framework for inclusive school leadership</w:t>
      </w:r>
      <w:r w:rsidRPr="009626A7">
        <w:t>.</w:t>
      </w:r>
      <w:r w:rsidRPr="00584CEA">
        <w:t xml:space="preserve"> This structure is presented in detail in </w:t>
      </w:r>
      <w:hyperlink r:id="rId51" w:history="1">
        <w:r w:rsidRPr="00584CEA">
          <w:rPr>
            <w:rStyle w:val="Hyperlink"/>
          </w:rPr>
          <w:t>Inclusive School Leadership: A practical guide to developing and reviewing policy frameworks</w:t>
        </w:r>
      </w:hyperlink>
      <w:r w:rsidRPr="00584CEA">
        <w:t xml:space="preserve">. The document offers a framework for all who have a vision of more inclusive and equitable education for all. Its target users are policy- and decision-makers at all education system levels. It sets out a vision, guiding principles, goals, objectives and a framework of standards and supportive policy measures. </w:t>
      </w:r>
      <w:r w:rsidRPr="009626A7">
        <w:t xml:space="preserve">The policy framework aims to be applicable to </w:t>
      </w:r>
      <w:r w:rsidRPr="009626A7">
        <w:rPr>
          <w:b/>
        </w:rPr>
        <w:t>all</w:t>
      </w:r>
      <w:r w:rsidRPr="009626A7">
        <w:t xml:space="preserve"> countries’ contexts. It is </w:t>
      </w:r>
      <w:proofErr w:type="gramStart"/>
      <w:r w:rsidRPr="009626A7">
        <w:t>open-source</w:t>
      </w:r>
      <w:proofErr w:type="gramEnd"/>
      <w:r w:rsidRPr="009626A7">
        <w:t>, so users can adapt it to their respective contexts.</w:t>
      </w:r>
      <w:r w:rsidRPr="00584CEA">
        <w:t xml:space="preserve"> It will be accompanied by a Self-reflection tool for school leadership and policy makers, which will be published at the end of 2021.</w:t>
      </w:r>
    </w:p>
    <w:p w14:paraId="254EF7D0" w14:textId="77777777" w:rsidR="00887819" w:rsidRPr="00584CEA" w:rsidRDefault="00887819" w:rsidP="00887819">
      <w:pPr>
        <w:pStyle w:val="Agency-heading-2"/>
        <w:rPr>
          <w:rFonts w:ascii="Segoe UI" w:hAnsi="Segoe UI" w:cs="Segoe UI"/>
          <w:sz w:val="18"/>
          <w:szCs w:val="18"/>
        </w:rPr>
      </w:pPr>
      <w:bookmarkStart w:id="12" w:name="_Toc70066605"/>
      <w:bookmarkStart w:id="13" w:name="_Toc71558858"/>
      <w:bookmarkStart w:id="14" w:name="_Toc117854285"/>
      <w:r w:rsidRPr="00584CEA">
        <w:rPr>
          <w:rStyle w:val="normaltextrun"/>
          <w:rFonts w:cs="Calibri"/>
        </w:rPr>
        <w:t>Communication and collaboration between stakeholders</w:t>
      </w:r>
      <w:bookmarkEnd w:id="12"/>
      <w:bookmarkEnd w:id="13"/>
      <w:bookmarkEnd w:id="14"/>
      <w:r w:rsidRPr="00584CEA">
        <w:rPr>
          <w:rStyle w:val="normaltextrun"/>
          <w:rFonts w:cs="Calibri"/>
        </w:rPr>
        <w:t> </w:t>
      </w:r>
      <w:r w:rsidRPr="00584CEA">
        <w:rPr>
          <w:rStyle w:val="eop"/>
          <w:rFonts w:cs="Calibri"/>
        </w:rPr>
        <w:t> </w:t>
      </w:r>
    </w:p>
    <w:p w14:paraId="6185B862" w14:textId="54EC4B03" w:rsidR="00887819" w:rsidRPr="00584CEA" w:rsidRDefault="00887819" w:rsidP="00887819">
      <w:pPr>
        <w:pStyle w:val="Agency-body-text"/>
        <w:rPr>
          <w:rStyle w:val="normaltextrun"/>
          <w:i/>
        </w:rPr>
      </w:pPr>
      <w:r w:rsidRPr="00584CEA">
        <w:rPr>
          <w:rStyle w:val="normaltextrun"/>
          <w:i/>
        </w:rPr>
        <w:t>6</w:t>
      </w:r>
      <w:r w:rsidRPr="00584CEA">
        <w:rPr>
          <w:rStyle w:val="normaltextrun"/>
          <w:i/>
          <w:vertAlign w:val="superscript"/>
        </w:rPr>
        <w:t>th</w:t>
      </w:r>
      <w:r w:rsidRPr="00584CEA">
        <w:rPr>
          <w:rStyle w:val="normaltextrun"/>
          <w:i/>
        </w:rPr>
        <w:t xml:space="preserve"> standard: There is effective</w:t>
      </w:r>
      <w:r w:rsidRPr="00584CEA">
        <w:rPr>
          <w:rStyle w:val="apple-converted-space"/>
          <w:i/>
        </w:rPr>
        <w:t> </w:t>
      </w:r>
      <w:r w:rsidRPr="00584CEA">
        <w:rPr>
          <w:rStyle w:val="normaltextrun"/>
          <w:i/>
        </w:rPr>
        <w:t>communication and collaboration across and between all system stakeholders.</w:t>
      </w:r>
      <w:r w:rsidRPr="00584CEA">
        <w:rPr>
          <w:rStyle w:val="eop"/>
          <w:i/>
        </w:rPr>
        <w:t xml:space="preserve"> </w:t>
      </w:r>
      <w:r w:rsidRPr="00584CEA">
        <w:rPr>
          <w:rStyle w:val="normaltextrun"/>
          <w:i/>
        </w:rPr>
        <w:t>The key issue for this standard is how effectively communication and collaboration in the education system</w:t>
      </w:r>
      <w:r w:rsidRPr="00584CEA">
        <w:rPr>
          <w:rStyle w:val="apple-converted-space"/>
          <w:i/>
        </w:rPr>
        <w:t> </w:t>
      </w:r>
      <w:r w:rsidRPr="00584CEA">
        <w:rPr>
          <w:rStyle w:val="normaltextrun"/>
          <w:i/>
        </w:rPr>
        <w:t>enables all stakeholders in education to be inclusive in their day-to-day work</w:t>
      </w:r>
      <w:r w:rsidRPr="00584CEA">
        <w:rPr>
          <w:rStyle w:val="apple-converted-space"/>
          <w:i/>
        </w:rPr>
        <w:t> </w:t>
      </w:r>
      <w:r w:rsidRPr="00584CEA">
        <w:rPr>
          <w:rStyle w:val="normaltextrun"/>
          <w:i/>
        </w:rPr>
        <w:t>and school experience. This includes stakeholders at all levels</w:t>
      </w:r>
      <w:r w:rsidRPr="00584CEA">
        <w:rPr>
          <w:rStyle w:val="apple-converted-space"/>
          <w:i/>
        </w:rPr>
        <w:t> </w:t>
      </w:r>
      <w:proofErr w:type="gramStart"/>
      <w:r w:rsidRPr="00584CEA">
        <w:rPr>
          <w:rStyle w:val="normaltextrun"/>
          <w:i/>
        </w:rPr>
        <w:t>i.e.</w:t>
      </w:r>
      <w:proofErr w:type="gramEnd"/>
      <w:r w:rsidRPr="00584CEA">
        <w:rPr>
          <w:rStyle w:val="apple-converted-space"/>
          <w:i/>
        </w:rPr>
        <w:t> </w:t>
      </w:r>
      <w:r w:rsidRPr="00584CEA">
        <w:rPr>
          <w:rStyle w:val="normaltextrun"/>
          <w:i/>
        </w:rPr>
        <w:t>state, region, municipality, community and school</w:t>
      </w:r>
      <w:r w:rsidRPr="00584CEA">
        <w:rPr>
          <w:rStyle w:val="apple-converted-space"/>
          <w:i/>
        </w:rPr>
        <w:t> </w:t>
      </w:r>
      <w:r w:rsidRPr="00584CEA">
        <w:rPr>
          <w:rStyle w:val="normaltextrun"/>
          <w:i/>
        </w:rPr>
        <w:t>as well as learners, families, schools and services.</w:t>
      </w:r>
    </w:p>
    <w:p w14:paraId="282EBBF3" w14:textId="4C82F757" w:rsidR="00BD0852" w:rsidRPr="00BD0852" w:rsidRDefault="00BD0852" w:rsidP="00BD0852">
      <w:pPr>
        <w:pStyle w:val="Agency-body-text"/>
      </w:pPr>
      <w:r w:rsidRPr="00BD0852">
        <w:t>The Organisation of Provision to Support Inclusive Education project set out to address the question: How are systems of provision organised to meet the needs of learners in inclusive settings within the compulsory school sector?</w:t>
      </w:r>
    </w:p>
    <w:p w14:paraId="23ED307F" w14:textId="784509F7" w:rsidR="00BD0852" w:rsidRPr="00BD0852" w:rsidRDefault="00BD0852" w:rsidP="00BD0852">
      <w:pPr>
        <w:pStyle w:val="Agency-body-text"/>
      </w:pPr>
      <w:r w:rsidRPr="00BD0852">
        <w:t xml:space="preserve">A </w:t>
      </w:r>
      <w:r w:rsidRPr="00584CEA">
        <w:t>digital</w:t>
      </w:r>
      <w:r w:rsidRPr="00BD0852">
        <w:t xml:space="preserve"> </w:t>
      </w:r>
      <w:hyperlink r:id="rId52" w:tgtFrame="_blank" w:history="1">
        <w:r w:rsidRPr="00BD0852">
          <w:rPr>
            <w:rStyle w:val="Hyperlink"/>
          </w:rPr>
          <w:t>resource for developing collaborative policy and practice</w:t>
        </w:r>
      </w:hyperlink>
      <w:r w:rsidRPr="00BD0852">
        <w:t xml:space="preserve"> has been developed. This </w:t>
      </w:r>
      <w:r w:rsidRPr="00584CEA">
        <w:t>resource</w:t>
      </w:r>
      <w:r w:rsidRPr="00BD0852">
        <w:t xml:space="preserve"> has been designed to provide materials to help countries move towards a rights-based approach to education.</w:t>
      </w:r>
    </w:p>
    <w:p w14:paraId="5D6A3C18" w14:textId="77777777" w:rsidR="00BD0852" w:rsidRPr="00BD0852" w:rsidRDefault="00BD0852" w:rsidP="00BD0852">
      <w:pPr>
        <w:pStyle w:val="Agency-body-text"/>
      </w:pPr>
      <w:r w:rsidRPr="00BD0852">
        <w:lastRenderedPageBreak/>
        <w:t>The project recommendations stressed the importance of collaboration in bringing about change. This resource aims to support shared reflection and discussion to help achieve greater clarity about inclusive education. The main audience is decision makers at both national and local level.</w:t>
      </w:r>
    </w:p>
    <w:p w14:paraId="4F905B41" w14:textId="77777777" w:rsidR="00BD0852" w:rsidRPr="00BD0852" w:rsidRDefault="00BD0852" w:rsidP="00BD0852">
      <w:pPr>
        <w:pStyle w:val="Agency-body-text"/>
      </w:pPr>
      <w:r w:rsidRPr="00BD0852">
        <w:t>The resource is structured around 5 key questions:</w:t>
      </w:r>
    </w:p>
    <w:p w14:paraId="7009B416" w14:textId="77777777" w:rsidR="00BD0852" w:rsidRPr="00BD0852" w:rsidRDefault="00BD0852" w:rsidP="00BD0852">
      <w:pPr>
        <w:pStyle w:val="Agency-body-text"/>
        <w:numPr>
          <w:ilvl w:val="0"/>
          <w:numId w:val="43"/>
        </w:numPr>
      </w:pPr>
      <w:r w:rsidRPr="00BD0852">
        <w:t>How can the principles of the United Nations Convention on the Rights of the Child (UNCRC) and United Nations Convention on the Rights of Persons with Disabilities (UNCRPD) be embedded in national/local policy to ensure that all learners receive a quality education?</w:t>
      </w:r>
    </w:p>
    <w:p w14:paraId="3F4EAA47" w14:textId="77777777" w:rsidR="00BD0852" w:rsidRPr="00BD0852" w:rsidRDefault="00BD0852" w:rsidP="00BD0852">
      <w:pPr>
        <w:pStyle w:val="Agency-body-text"/>
        <w:numPr>
          <w:ilvl w:val="0"/>
          <w:numId w:val="43"/>
        </w:numPr>
      </w:pPr>
      <w:r w:rsidRPr="00BD0852">
        <w:t>What does inclusive education mean to stakeholders in our national/local context?</w:t>
      </w:r>
    </w:p>
    <w:p w14:paraId="47E72A0D" w14:textId="77777777" w:rsidR="00BD0852" w:rsidRPr="00BD0852" w:rsidRDefault="00BD0852" w:rsidP="00BD0852">
      <w:pPr>
        <w:pStyle w:val="Agency-body-text"/>
        <w:numPr>
          <w:ilvl w:val="0"/>
          <w:numId w:val="43"/>
        </w:numPr>
      </w:pPr>
      <w:r w:rsidRPr="00BD0852">
        <w:t>How can provision be organised to meet the needs of all the school community?</w:t>
      </w:r>
    </w:p>
    <w:p w14:paraId="0A4520C6" w14:textId="77777777" w:rsidR="00BD0852" w:rsidRPr="00BD0852" w:rsidRDefault="00BD0852" w:rsidP="00BD0852">
      <w:pPr>
        <w:pStyle w:val="Agency-body-text"/>
        <w:numPr>
          <w:ilvl w:val="0"/>
          <w:numId w:val="43"/>
        </w:numPr>
      </w:pPr>
      <w:r w:rsidRPr="00BD0852">
        <w:t>What restricts the participation and learning of all children and young people and what action can be taken?</w:t>
      </w:r>
    </w:p>
    <w:p w14:paraId="1906FC90" w14:textId="77777777" w:rsidR="00BD0852" w:rsidRPr="00BD0852" w:rsidRDefault="00BD0852" w:rsidP="00BD0852">
      <w:pPr>
        <w:pStyle w:val="Agency-body-text"/>
        <w:numPr>
          <w:ilvl w:val="0"/>
          <w:numId w:val="43"/>
        </w:numPr>
      </w:pPr>
      <w:r w:rsidRPr="00BD0852">
        <w:t xml:space="preserve">How can collaboration between key </w:t>
      </w:r>
      <w:proofErr w:type="gramStart"/>
      <w:r w:rsidRPr="00BD0852">
        <w:t>stakeholders</w:t>
      </w:r>
      <w:proofErr w:type="gramEnd"/>
      <w:r w:rsidRPr="00BD0852">
        <w:t xml:space="preserve"> support change and improvement?</w:t>
      </w:r>
    </w:p>
    <w:p w14:paraId="7FB3CBD7" w14:textId="6C16DDC1" w:rsidR="00BD0852" w:rsidRPr="00BD0852" w:rsidRDefault="00BD0852" w:rsidP="00BD0852">
      <w:pPr>
        <w:pStyle w:val="Agency-body-text"/>
      </w:pPr>
      <w:r w:rsidRPr="00584CEA">
        <w:t>T</w:t>
      </w:r>
      <w:r w:rsidRPr="00BD0852">
        <w:t xml:space="preserve">he resource, which uses materials, such as extracts from the project literature review, </w:t>
      </w:r>
      <w:proofErr w:type="gramStart"/>
      <w:r w:rsidRPr="00BD0852">
        <w:t>reports</w:t>
      </w:r>
      <w:proofErr w:type="gramEnd"/>
      <w:r w:rsidRPr="00BD0852">
        <w:t xml:space="preserve"> and practical examples to support discussion of these questions. The resource is designed to be used by stakeholders </w:t>
      </w:r>
      <w:proofErr w:type="gramStart"/>
      <w:r w:rsidRPr="00BD0852">
        <w:t>in order to</w:t>
      </w:r>
      <w:proofErr w:type="gramEnd"/>
      <w:r w:rsidRPr="00BD0852">
        <w:t xml:space="preserve"> help bridge the gap between theory and practice.</w:t>
      </w:r>
    </w:p>
    <w:p w14:paraId="09BEC160" w14:textId="77777777" w:rsidR="00887819" w:rsidRPr="00584CEA" w:rsidRDefault="00887819" w:rsidP="00887819">
      <w:pPr>
        <w:pStyle w:val="Agency-heading-2"/>
      </w:pPr>
      <w:bookmarkStart w:id="15" w:name="_Toc70066606"/>
      <w:bookmarkStart w:id="16" w:name="_Toc71558859"/>
      <w:bookmarkStart w:id="17" w:name="_Toc117854286"/>
      <w:r w:rsidRPr="00584CEA">
        <w:rPr>
          <w:rStyle w:val="normaltextrun"/>
          <w:rFonts w:cs="Calibri"/>
        </w:rPr>
        <w:t>Learning and teaching environments</w:t>
      </w:r>
      <w:bookmarkEnd w:id="15"/>
      <w:bookmarkEnd w:id="16"/>
      <w:bookmarkEnd w:id="17"/>
    </w:p>
    <w:p w14:paraId="760D31C6" w14:textId="77777777" w:rsidR="00887819" w:rsidRPr="00584CEA" w:rsidRDefault="00887819" w:rsidP="00887819">
      <w:pPr>
        <w:pStyle w:val="paragraph"/>
        <w:spacing w:before="0" w:beforeAutospacing="0" w:after="0" w:afterAutospacing="0"/>
        <w:textAlignment w:val="baseline"/>
        <w:rPr>
          <w:rStyle w:val="normaltextrun"/>
          <w:rFonts w:ascii="Calibri" w:hAnsi="Calibri" w:cs="Calibri"/>
          <w:i/>
          <w:color w:val="000000"/>
          <w:lang w:val="en-GB"/>
        </w:rPr>
      </w:pPr>
      <w:r w:rsidRPr="00584CEA">
        <w:rPr>
          <w:rStyle w:val="normaltextrun"/>
          <w:rFonts w:ascii="Calibri" w:hAnsi="Calibri" w:cs="Calibri"/>
          <w:i/>
          <w:color w:val="000000"/>
          <w:lang w:val="en-GB"/>
        </w:rPr>
        <w:t>7</w:t>
      </w:r>
      <w:r w:rsidRPr="00584CEA">
        <w:rPr>
          <w:rStyle w:val="normaltextrun"/>
          <w:rFonts w:ascii="Calibri" w:hAnsi="Calibri" w:cs="Calibri"/>
          <w:i/>
          <w:color w:val="000000"/>
          <w:vertAlign w:val="superscript"/>
          <w:lang w:val="en-GB"/>
        </w:rPr>
        <w:t>th</w:t>
      </w:r>
      <w:r w:rsidRPr="00584CEA">
        <w:rPr>
          <w:rStyle w:val="normaltextrun"/>
          <w:rFonts w:ascii="Calibri" w:hAnsi="Calibri" w:cs="Calibri"/>
          <w:i/>
          <w:color w:val="000000"/>
          <w:lang w:val="en-GB"/>
        </w:rPr>
        <w:t xml:space="preserve"> standard: Inclusive and equitable learning opportunities for all learners is ensured. The key issue for this standard is how effectively learners and their parents and families are engaged in the education of the learner.</w:t>
      </w:r>
    </w:p>
    <w:p w14:paraId="01A9AF9B" w14:textId="77777777" w:rsidR="009626A7" w:rsidRPr="00584CEA" w:rsidRDefault="009626A7" w:rsidP="009626A7">
      <w:pPr>
        <w:pStyle w:val="Agency-body-text"/>
      </w:pPr>
      <w:r w:rsidRPr="00584CEA">
        <w:t xml:space="preserve">Building school capacity and combating school failure are crucial steps in the efforts to develop more inclusive education systems. Recent Agency work – particularly the </w:t>
      </w:r>
      <w:hyperlink r:id="rId53" w:history="1">
        <w:r w:rsidRPr="00584CEA">
          <w:rPr>
            <w:rStyle w:val="Hyperlink"/>
          </w:rPr>
          <w:t>Organisation of Provision to Support Inclusive Education</w:t>
        </w:r>
      </w:hyperlink>
      <w:r w:rsidRPr="00584CEA">
        <w:t xml:space="preserve"> and </w:t>
      </w:r>
      <w:hyperlink r:id="rId54" w:history="1">
        <w:r w:rsidRPr="00584CEA">
          <w:rPr>
            <w:rStyle w:val="Hyperlink"/>
          </w:rPr>
          <w:t>Raising the Achievement of All Learners in Inclusive Education</w:t>
        </w:r>
      </w:hyperlink>
      <w:r w:rsidRPr="00584CEA">
        <w:t xml:space="preserve"> projects – has highlighted this. School failure has been linked to a lack of inclusion and fairness in the education system. While preventing school failure at the system level is frequently mentioned as an important issue, a focus on individual learners seems to prevail.</w:t>
      </w:r>
    </w:p>
    <w:p w14:paraId="65C28008" w14:textId="77777777" w:rsidR="009626A7" w:rsidRPr="00584CEA" w:rsidRDefault="009626A7" w:rsidP="009626A7">
      <w:pPr>
        <w:pStyle w:val="Agency-body-text"/>
      </w:pPr>
      <w:r w:rsidRPr="00584CEA">
        <w:t>The Preventing School Failure (PSF) project aims to address this gap, by highlighting the link between school failure and inclusive policies.</w:t>
      </w:r>
    </w:p>
    <w:p w14:paraId="71B6B1FC" w14:textId="77777777" w:rsidR="009626A7" w:rsidRPr="00584CEA" w:rsidRDefault="009626A7" w:rsidP="009626A7">
      <w:pPr>
        <w:pStyle w:val="Agency-body-text"/>
      </w:pPr>
      <w:r w:rsidRPr="00584CEA">
        <w:t>The final project outputs are:</w:t>
      </w:r>
    </w:p>
    <w:p w14:paraId="08D6F840" w14:textId="77777777" w:rsidR="009626A7" w:rsidRPr="00584CEA" w:rsidRDefault="009626A7" w:rsidP="009626A7">
      <w:pPr>
        <w:pStyle w:val="Agency-body-text"/>
        <w:numPr>
          <w:ilvl w:val="0"/>
          <w:numId w:val="37"/>
        </w:numPr>
      </w:pPr>
      <w:r w:rsidRPr="00584CEA">
        <w:t xml:space="preserve">An </w:t>
      </w:r>
      <w:hyperlink r:id="rId55" w:history="1">
        <w:r w:rsidRPr="00584CEA">
          <w:rPr>
            <w:rStyle w:val="Hyperlink"/>
          </w:rPr>
          <w:t>international literature review</w:t>
        </w:r>
      </w:hyperlink>
      <w:r w:rsidRPr="00584CEA">
        <w:t>: this provides an overview of European and international research regarding the prevention of school failure in relation to inclusive education. (EN only)</w:t>
      </w:r>
    </w:p>
    <w:p w14:paraId="39FE71B6" w14:textId="77777777" w:rsidR="009626A7" w:rsidRPr="00584CEA" w:rsidRDefault="009626A7" w:rsidP="009626A7">
      <w:pPr>
        <w:pStyle w:val="Agency-body-text"/>
        <w:numPr>
          <w:ilvl w:val="0"/>
          <w:numId w:val="37"/>
        </w:numPr>
      </w:pPr>
      <w:r w:rsidRPr="00584CEA">
        <w:t xml:space="preserve">A </w:t>
      </w:r>
      <w:hyperlink r:id="rId56" w:tgtFrame="_blank" w:history="1">
        <w:r w:rsidRPr="00584CEA">
          <w:rPr>
            <w:rStyle w:val="Hyperlink"/>
          </w:rPr>
          <w:t>country information thematic analysis</w:t>
        </w:r>
      </w:hyperlink>
      <w:r w:rsidRPr="00584CEA">
        <w:t xml:space="preserve">: this presents participating countries’ definitions of ‘school failure’ and provides comprehensive information on their </w:t>
      </w:r>
      <w:r w:rsidRPr="00584CEA">
        <w:lastRenderedPageBreak/>
        <w:t>national, regional and local policies, measures and initiatives for preventing school failure. (EN only)</w:t>
      </w:r>
    </w:p>
    <w:p w14:paraId="715D3160" w14:textId="77777777" w:rsidR="009626A7" w:rsidRPr="00584CEA" w:rsidRDefault="009626A7" w:rsidP="009626A7">
      <w:pPr>
        <w:pStyle w:val="Agency-body-text"/>
        <w:numPr>
          <w:ilvl w:val="0"/>
          <w:numId w:val="37"/>
        </w:numPr>
      </w:pPr>
      <w:r w:rsidRPr="00584CEA">
        <w:t xml:space="preserve">A </w:t>
      </w:r>
      <w:hyperlink r:id="rId57" w:history="1">
        <w:r w:rsidRPr="00584CEA">
          <w:rPr>
            <w:rStyle w:val="Hyperlink"/>
          </w:rPr>
          <w:t>project synthesis report</w:t>
        </w:r>
      </w:hyperlink>
      <w:r w:rsidRPr="00584CEA">
        <w:t>, based on the combined evidence from the two activity strands. Overall, this output embeds all project information (wider policy framework, findings from the literature review and country information) into a comprehensive policy review. The report concludes by identifying key policy actions for the prevention of school failure. (EN only)</w:t>
      </w:r>
    </w:p>
    <w:p w14:paraId="210801E3" w14:textId="4787AC3F" w:rsidR="009626A7" w:rsidRPr="00584CEA" w:rsidRDefault="009626A7" w:rsidP="00887819">
      <w:pPr>
        <w:pStyle w:val="Agency-body-text"/>
        <w:numPr>
          <w:ilvl w:val="0"/>
          <w:numId w:val="37"/>
        </w:numPr>
      </w:pPr>
      <w:r w:rsidRPr="00584CEA">
        <w:t xml:space="preserve">A </w:t>
      </w:r>
      <w:hyperlink r:id="rId58" w:history="1">
        <w:r w:rsidRPr="00584CEA">
          <w:rPr>
            <w:rStyle w:val="Hyperlink"/>
          </w:rPr>
          <w:t>summary of the project findings</w:t>
        </w:r>
      </w:hyperlink>
      <w:r w:rsidRPr="00584CEA">
        <w:t>. (EN and CS)</w:t>
      </w:r>
    </w:p>
    <w:sectPr w:rsidR="009626A7" w:rsidRPr="00584CEA" w:rsidSect="003D4B50">
      <w:headerReference w:type="even" r:id="rId59"/>
      <w:headerReference w:type="default" r:id="rId60"/>
      <w:footerReference w:type="even" r:id="rId61"/>
      <w:footerReference w:type="default" r:id="rId62"/>
      <w:pgSz w:w="11899" w:h="16838"/>
      <w:pgMar w:top="1134" w:right="1531" w:bottom="1276" w:left="1531" w:header="709" w:footer="82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4C80DE" w14:textId="77777777" w:rsidR="008261D5" w:rsidRDefault="008261D5">
      <w:r>
        <w:separator/>
      </w:r>
    </w:p>
  </w:endnote>
  <w:endnote w:type="continuationSeparator" w:id="0">
    <w:p w14:paraId="5D0D3145" w14:textId="77777777" w:rsidR="008261D5" w:rsidRDefault="008261D5">
      <w:r>
        <w:continuationSeparator/>
      </w:r>
    </w:p>
  </w:endnote>
  <w:endnote w:type="continuationNotice" w:id="1">
    <w:p w14:paraId="420D6A58" w14:textId="77777777" w:rsidR="008261D5" w:rsidRDefault="008261D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panose1 w:val="020B0600040502020204"/>
    <w:charset w:val="00"/>
    <w:family w:val="swiss"/>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715C48" w14:textId="77777777" w:rsidR="00137A44" w:rsidRPr="00C20CB3" w:rsidRDefault="00137A44" w:rsidP="005D5C15">
    <w:pPr>
      <w:framePr w:wrap="around" w:vAnchor="text" w:hAnchor="margin" w:xAlign="outside" w:y="1"/>
      <w:jc w:val="right"/>
    </w:pPr>
    <w:r w:rsidRPr="00C20CB3">
      <w:rPr>
        <w:sz w:val="20"/>
      </w:rPr>
      <w:fldChar w:fldCharType="begin"/>
    </w:r>
    <w:r w:rsidRPr="00C20CB3">
      <w:rPr>
        <w:rFonts w:ascii="Arial" w:hAnsi="Arial"/>
        <w:sz w:val="20"/>
      </w:rPr>
      <w:instrText xml:space="preserve">PAGE  </w:instrText>
    </w:r>
    <w:r w:rsidRPr="00C20CB3">
      <w:rPr>
        <w:sz w:val="20"/>
      </w:rPr>
      <w:fldChar w:fldCharType="separate"/>
    </w:r>
    <w:r>
      <w:rPr>
        <w:rFonts w:ascii="Arial" w:hAnsi="Arial"/>
        <w:noProof/>
        <w:sz w:val="20"/>
      </w:rPr>
      <w:t>2</w:t>
    </w:r>
    <w:r w:rsidRPr="00C20CB3">
      <w:rPr>
        <w:sz w:val="20"/>
      </w:rPr>
      <w:fldChar w:fldCharType="end"/>
    </w:r>
  </w:p>
  <w:p w14:paraId="62EE1563" w14:textId="77777777" w:rsidR="00137A44" w:rsidRDefault="00137A44" w:rsidP="005D5C15">
    <w:pP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9D2738" w14:textId="77777777" w:rsidR="00137A44" w:rsidRPr="003E03F2" w:rsidRDefault="00137A44" w:rsidP="00D25C1B">
    <w:pPr>
      <w:framePr w:wrap="around" w:vAnchor="text" w:hAnchor="page" w:x="10675" w:y="42"/>
      <w:jc w:val="right"/>
    </w:pPr>
    <w:r w:rsidRPr="003E03F2">
      <w:rPr>
        <w:rFonts w:ascii="Calibri" w:hAnsi="Calibri"/>
      </w:rPr>
      <w:fldChar w:fldCharType="begin"/>
    </w:r>
    <w:r w:rsidRPr="003E03F2">
      <w:rPr>
        <w:rFonts w:ascii="Calibri" w:hAnsi="Calibri"/>
      </w:rPr>
      <w:instrText xml:space="preserve">PAGE  </w:instrText>
    </w:r>
    <w:r w:rsidRPr="003E03F2">
      <w:rPr>
        <w:rFonts w:ascii="Calibri" w:hAnsi="Calibri"/>
      </w:rPr>
      <w:fldChar w:fldCharType="separate"/>
    </w:r>
    <w:r w:rsidR="0060737B">
      <w:rPr>
        <w:rFonts w:ascii="Calibri" w:hAnsi="Calibri"/>
        <w:noProof/>
      </w:rPr>
      <w:t>1</w:t>
    </w:r>
    <w:r w:rsidRPr="003E03F2">
      <w:rPr>
        <w:rFonts w:ascii="Calibri" w:hAnsi="Calibri"/>
      </w:rPr>
      <w:fldChar w:fldCharType="end"/>
    </w:r>
  </w:p>
  <w:p w14:paraId="51F6522E" w14:textId="7FFD4E3D" w:rsidR="00137A44" w:rsidRPr="007F1F89" w:rsidRDefault="00ED6D21" w:rsidP="00EA53FF">
    <w:pPr>
      <w:pStyle w:val="Agency-footer"/>
    </w:pPr>
    <w:r>
      <w:t>Annex 2: Additional Resources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58AAD4" w14:textId="77777777" w:rsidR="008261D5" w:rsidRDefault="008261D5">
      <w:r>
        <w:separator/>
      </w:r>
    </w:p>
  </w:footnote>
  <w:footnote w:type="continuationSeparator" w:id="0">
    <w:p w14:paraId="001CE69D" w14:textId="77777777" w:rsidR="008261D5" w:rsidRDefault="008261D5">
      <w:r>
        <w:continuationSeparator/>
      </w:r>
    </w:p>
  </w:footnote>
  <w:footnote w:type="continuationNotice" w:id="1">
    <w:p w14:paraId="5E24DE1B" w14:textId="77777777" w:rsidR="008261D5" w:rsidRDefault="008261D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EA9A97" w14:textId="77777777" w:rsidR="00137A44" w:rsidRDefault="00137A44" w:rsidP="00EA53FF">
    <w:pPr>
      <w:jc w:val="center"/>
    </w:pPr>
    <w:r>
      <w:rPr>
        <w:noProof/>
        <w:lang w:val="da-DK" w:eastAsia="da-DK"/>
      </w:rPr>
      <w:drawing>
        <wp:inline distT="0" distB="0" distL="0" distR="0" wp14:anchorId="6362D36B" wp14:editId="61559087">
          <wp:extent cx="5672455" cy="474345"/>
          <wp:effectExtent l="0" t="0" r="0" b="8255"/>
          <wp:docPr id="6"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72455" cy="474345"/>
                  </a:xfrm>
                  <a:prstGeom prst="rect">
                    <a:avLst/>
                  </a:prstGeom>
                  <a:noFill/>
                  <a:ln>
                    <a:noFill/>
                  </a:ln>
                </pic:spPr>
              </pic:pic>
            </a:graphicData>
          </a:graphic>
        </wp:inline>
      </w:drawing>
    </w:r>
  </w:p>
  <w:p w14:paraId="40395B50" w14:textId="77777777" w:rsidR="00137A44" w:rsidRDefault="00137A44" w:rsidP="00EA53FF">
    <w:pP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2857FF" w14:textId="77777777" w:rsidR="00137A44" w:rsidRDefault="00AC5449" w:rsidP="00583B98">
    <w:pPr>
      <w:jc w:val="center"/>
    </w:pPr>
    <w:r>
      <w:rPr>
        <w:noProof/>
      </w:rPr>
      <w:drawing>
        <wp:inline distT="0" distB="0" distL="0" distR="0" wp14:anchorId="2A967106" wp14:editId="687AAED2">
          <wp:extent cx="5611495" cy="641350"/>
          <wp:effectExtent l="0" t="0" r="1905"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RSS-logo-header0919.jpg"/>
                  <pic:cNvPicPr/>
                </pic:nvPicPr>
                <pic:blipFill>
                  <a:blip r:embed="rId1"/>
                  <a:stretch>
                    <a:fillRect/>
                  </a:stretch>
                </pic:blipFill>
                <pic:spPr>
                  <a:xfrm>
                    <a:off x="0" y="0"/>
                    <a:ext cx="5611495" cy="64135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5D7E2BD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FBF8F9A4"/>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C42C8662"/>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95C06082"/>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E6EA3FF2"/>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B480008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BD4C7ED8"/>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F5C07B9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19D45436"/>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31AE3350"/>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F6164B02"/>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0000001"/>
    <w:multiLevelType w:val="hybridMultilevel"/>
    <w:tmpl w:val="48DEE9A0"/>
    <w:lvl w:ilvl="0" w:tplc="52CE3022">
      <w:numFmt w:val="none"/>
      <w:lvlText w:val=""/>
      <w:lvlJc w:val="left"/>
      <w:pPr>
        <w:tabs>
          <w:tab w:val="num" w:pos="360"/>
        </w:tabs>
      </w:pPr>
    </w:lvl>
    <w:lvl w:ilvl="1" w:tplc="D2A457E8">
      <w:numFmt w:val="decimal"/>
      <w:lvlText w:val=""/>
      <w:lvlJc w:val="left"/>
    </w:lvl>
    <w:lvl w:ilvl="2" w:tplc="CD78F62E">
      <w:numFmt w:val="decimal"/>
      <w:lvlText w:val=""/>
      <w:lvlJc w:val="left"/>
    </w:lvl>
    <w:lvl w:ilvl="3" w:tplc="E1DC45C6">
      <w:numFmt w:val="decimal"/>
      <w:lvlText w:val=""/>
      <w:lvlJc w:val="left"/>
    </w:lvl>
    <w:lvl w:ilvl="4" w:tplc="3CFAB560">
      <w:numFmt w:val="decimal"/>
      <w:lvlText w:val=""/>
      <w:lvlJc w:val="left"/>
    </w:lvl>
    <w:lvl w:ilvl="5" w:tplc="B69613DA">
      <w:numFmt w:val="decimal"/>
      <w:lvlText w:val=""/>
      <w:lvlJc w:val="left"/>
    </w:lvl>
    <w:lvl w:ilvl="6" w:tplc="E3A23ADE">
      <w:numFmt w:val="decimal"/>
      <w:lvlText w:val=""/>
      <w:lvlJc w:val="left"/>
    </w:lvl>
    <w:lvl w:ilvl="7" w:tplc="C70C9F5A">
      <w:numFmt w:val="decimal"/>
      <w:lvlText w:val=""/>
      <w:lvlJc w:val="left"/>
    </w:lvl>
    <w:lvl w:ilvl="8" w:tplc="BA585CCA">
      <w:numFmt w:val="decimal"/>
      <w:lvlText w:val=""/>
      <w:lvlJc w:val="left"/>
    </w:lvl>
  </w:abstractNum>
  <w:abstractNum w:abstractNumId="12" w15:restartNumberingAfterBreak="0">
    <w:nsid w:val="00000002"/>
    <w:multiLevelType w:val="hybridMultilevel"/>
    <w:tmpl w:val="1E46D10C"/>
    <w:lvl w:ilvl="0" w:tplc="3904B738">
      <w:numFmt w:val="none"/>
      <w:lvlText w:val=""/>
      <w:lvlJc w:val="left"/>
      <w:pPr>
        <w:tabs>
          <w:tab w:val="num" w:pos="360"/>
        </w:tabs>
      </w:pPr>
    </w:lvl>
    <w:lvl w:ilvl="1" w:tplc="606809A0">
      <w:numFmt w:val="decimal"/>
      <w:lvlText w:val=""/>
      <w:lvlJc w:val="left"/>
    </w:lvl>
    <w:lvl w:ilvl="2" w:tplc="7B48196A">
      <w:numFmt w:val="decimal"/>
      <w:lvlText w:val=""/>
      <w:lvlJc w:val="left"/>
    </w:lvl>
    <w:lvl w:ilvl="3" w:tplc="6D282C4C">
      <w:numFmt w:val="decimal"/>
      <w:lvlText w:val=""/>
      <w:lvlJc w:val="left"/>
    </w:lvl>
    <w:lvl w:ilvl="4" w:tplc="A7EC872A">
      <w:numFmt w:val="decimal"/>
      <w:lvlText w:val=""/>
      <w:lvlJc w:val="left"/>
    </w:lvl>
    <w:lvl w:ilvl="5" w:tplc="FAE0F860">
      <w:numFmt w:val="decimal"/>
      <w:lvlText w:val=""/>
      <w:lvlJc w:val="left"/>
    </w:lvl>
    <w:lvl w:ilvl="6" w:tplc="0166F06A">
      <w:numFmt w:val="decimal"/>
      <w:lvlText w:val=""/>
      <w:lvlJc w:val="left"/>
    </w:lvl>
    <w:lvl w:ilvl="7" w:tplc="CFBE5A58">
      <w:numFmt w:val="decimal"/>
      <w:lvlText w:val=""/>
      <w:lvlJc w:val="left"/>
    </w:lvl>
    <w:lvl w:ilvl="8" w:tplc="414ED576">
      <w:numFmt w:val="decimal"/>
      <w:lvlText w:val=""/>
      <w:lvlJc w:val="left"/>
    </w:lvl>
  </w:abstractNum>
  <w:abstractNum w:abstractNumId="13" w15:restartNumberingAfterBreak="0">
    <w:nsid w:val="00000003"/>
    <w:multiLevelType w:val="hybridMultilevel"/>
    <w:tmpl w:val="BFE42EF8"/>
    <w:lvl w:ilvl="0" w:tplc="4BAA3F44">
      <w:numFmt w:val="none"/>
      <w:lvlText w:val=""/>
      <w:lvlJc w:val="left"/>
      <w:pPr>
        <w:tabs>
          <w:tab w:val="num" w:pos="360"/>
        </w:tabs>
      </w:pPr>
    </w:lvl>
    <w:lvl w:ilvl="1" w:tplc="A72CB7E2">
      <w:numFmt w:val="decimal"/>
      <w:lvlText w:val=""/>
      <w:lvlJc w:val="left"/>
    </w:lvl>
    <w:lvl w:ilvl="2" w:tplc="120462BE">
      <w:numFmt w:val="decimal"/>
      <w:lvlText w:val=""/>
      <w:lvlJc w:val="left"/>
    </w:lvl>
    <w:lvl w:ilvl="3" w:tplc="9332624E">
      <w:numFmt w:val="decimal"/>
      <w:lvlText w:val=""/>
      <w:lvlJc w:val="left"/>
    </w:lvl>
    <w:lvl w:ilvl="4" w:tplc="DEA630DE">
      <w:numFmt w:val="decimal"/>
      <w:lvlText w:val=""/>
      <w:lvlJc w:val="left"/>
    </w:lvl>
    <w:lvl w:ilvl="5" w:tplc="04DE30FC">
      <w:numFmt w:val="decimal"/>
      <w:lvlText w:val=""/>
      <w:lvlJc w:val="left"/>
    </w:lvl>
    <w:lvl w:ilvl="6" w:tplc="AC6C5436">
      <w:numFmt w:val="decimal"/>
      <w:lvlText w:val=""/>
      <w:lvlJc w:val="left"/>
    </w:lvl>
    <w:lvl w:ilvl="7" w:tplc="FAE00506">
      <w:numFmt w:val="decimal"/>
      <w:lvlText w:val=""/>
      <w:lvlJc w:val="left"/>
    </w:lvl>
    <w:lvl w:ilvl="8" w:tplc="EF366ED4">
      <w:numFmt w:val="decimal"/>
      <w:lvlText w:val=""/>
      <w:lvlJc w:val="left"/>
    </w:lvl>
  </w:abstractNum>
  <w:abstractNum w:abstractNumId="14" w15:restartNumberingAfterBreak="0">
    <w:nsid w:val="041410AB"/>
    <w:multiLevelType w:val="multilevel"/>
    <w:tmpl w:val="59160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4AC77F3"/>
    <w:multiLevelType w:val="hybridMultilevel"/>
    <w:tmpl w:val="FFFFFFFF"/>
    <w:lvl w:ilvl="0" w:tplc="DECCE90C">
      <w:start w:val="1"/>
      <w:numFmt w:val="bullet"/>
      <w:lvlText w:val="•"/>
      <w:lvlJc w:val="left"/>
      <w:pPr>
        <w:ind w:left="720" w:hanging="360"/>
      </w:pPr>
      <w:rPr>
        <w:rFonts w:ascii="Calibri" w:hAnsi="Calibri" w:hint="default"/>
      </w:rPr>
    </w:lvl>
    <w:lvl w:ilvl="1" w:tplc="35DED578">
      <w:start w:val="1"/>
      <w:numFmt w:val="bullet"/>
      <w:lvlText w:val="o"/>
      <w:lvlJc w:val="left"/>
      <w:pPr>
        <w:ind w:left="1440" w:hanging="360"/>
      </w:pPr>
      <w:rPr>
        <w:rFonts w:ascii="Courier New" w:hAnsi="Courier New" w:hint="default"/>
      </w:rPr>
    </w:lvl>
    <w:lvl w:ilvl="2" w:tplc="D348EEDA">
      <w:start w:val="1"/>
      <w:numFmt w:val="bullet"/>
      <w:lvlText w:val=""/>
      <w:lvlJc w:val="left"/>
      <w:pPr>
        <w:ind w:left="2160" w:hanging="360"/>
      </w:pPr>
      <w:rPr>
        <w:rFonts w:ascii="Wingdings" w:hAnsi="Wingdings" w:hint="default"/>
      </w:rPr>
    </w:lvl>
    <w:lvl w:ilvl="3" w:tplc="D00AAF42">
      <w:start w:val="1"/>
      <w:numFmt w:val="bullet"/>
      <w:lvlText w:val=""/>
      <w:lvlJc w:val="left"/>
      <w:pPr>
        <w:ind w:left="2880" w:hanging="360"/>
      </w:pPr>
      <w:rPr>
        <w:rFonts w:ascii="Symbol" w:hAnsi="Symbol" w:hint="default"/>
      </w:rPr>
    </w:lvl>
    <w:lvl w:ilvl="4" w:tplc="0200248E">
      <w:start w:val="1"/>
      <w:numFmt w:val="bullet"/>
      <w:lvlText w:val="o"/>
      <w:lvlJc w:val="left"/>
      <w:pPr>
        <w:ind w:left="3600" w:hanging="360"/>
      </w:pPr>
      <w:rPr>
        <w:rFonts w:ascii="Courier New" w:hAnsi="Courier New" w:hint="default"/>
      </w:rPr>
    </w:lvl>
    <w:lvl w:ilvl="5" w:tplc="B72EF0DA">
      <w:start w:val="1"/>
      <w:numFmt w:val="bullet"/>
      <w:lvlText w:val=""/>
      <w:lvlJc w:val="left"/>
      <w:pPr>
        <w:ind w:left="4320" w:hanging="360"/>
      </w:pPr>
      <w:rPr>
        <w:rFonts w:ascii="Wingdings" w:hAnsi="Wingdings" w:hint="default"/>
      </w:rPr>
    </w:lvl>
    <w:lvl w:ilvl="6" w:tplc="A59A8CD0">
      <w:start w:val="1"/>
      <w:numFmt w:val="bullet"/>
      <w:lvlText w:val=""/>
      <w:lvlJc w:val="left"/>
      <w:pPr>
        <w:ind w:left="5040" w:hanging="360"/>
      </w:pPr>
      <w:rPr>
        <w:rFonts w:ascii="Symbol" w:hAnsi="Symbol" w:hint="default"/>
      </w:rPr>
    </w:lvl>
    <w:lvl w:ilvl="7" w:tplc="7D54A210">
      <w:start w:val="1"/>
      <w:numFmt w:val="bullet"/>
      <w:lvlText w:val="o"/>
      <w:lvlJc w:val="left"/>
      <w:pPr>
        <w:ind w:left="5760" w:hanging="360"/>
      </w:pPr>
      <w:rPr>
        <w:rFonts w:ascii="Courier New" w:hAnsi="Courier New" w:hint="default"/>
      </w:rPr>
    </w:lvl>
    <w:lvl w:ilvl="8" w:tplc="CF161A0A">
      <w:start w:val="1"/>
      <w:numFmt w:val="bullet"/>
      <w:lvlText w:val=""/>
      <w:lvlJc w:val="left"/>
      <w:pPr>
        <w:ind w:left="6480" w:hanging="360"/>
      </w:pPr>
      <w:rPr>
        <w:rFonts w:ascii="Wingdings" w:hAnsi="Wingdings" w:hint="default"/>
      </w:rPr>
    </w:lvl>
  </w:abstractNum>
  <w:abstractNum w:abstractNumId="16" w15:restartNumberingAfterBreak="0">
    <w:nsid w:val="05960CA6"/>
    <w:multiLevelType w:val="hybridMultilevel"/>
    <w:tmpl w:val="D55A9CAC"/>
    <w:lvl w:ilvl="0" w:tplc="334E6D8C">
      <w:start w:val="1"/>
      <w:numFmt w:val="bullet"/>
      <w:lvlText w:val="-"/>
      <w:lvlJc w:val="left"/>
      <w:pPr>
        <w:tabs>
          <w:tab w:val="num" w:pos="357"/>
        </w:tabs>
        <w:ind w:left="0" w:firstLine="0"/>
      </w:pPr>
      <w:rPr>
        <w:rFonts w:ascii="Arial" w:eastAsia="Times New Roman" w:hAnsi="Arial" w:hint="default"/>
        <w:w w:val="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0F85035A"/>
    <w:multiLevelType w:val="multilevel"/>
    <w:tmpl w:val="8132E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2882E26"/>
    <w:multiLevelType w:val="hybridMultilevel"/>
    <w:tmpl w:val="6CC64A9A"/>
    <w:lvl w:ilvl="0" w:tplc="C6F2BCFA">
      <w:start w:val="1"/>
      <w:numFmt w:val="bullet"/>
      <w:lvlText w:val=""/>
      <w:lvlJc w:val="left"/>
      <w:pPr>
        <w:tabs>
          <w:tab w:val="num" w:pos="1353"/>
        </w:tabs>
        <w:ind w:left="1353" w:hanging="1353"/>
      </w:pPr>
      <w:rPr>
        <w:rFonts w:ascii="Symbol" w:hAnsi="Symbol" w:hint="default"/>
      </w:rPr>
    </w:lvl>
    <w:lvl w:ilvl="1" w:tplc="04090003" w:tentative="1">
      <w:start w:val="1"/>
      <w:numFmt w:val="bullet"/>
      <w:lvlText w:val="o"/>
      <w:lvlJc w:val="left"/>
      <w:pPr>
        <w:tabs>
          <w:tab w:val="num" w:pos="731"/>
        </w:tabs>
        <w:ind w:left="731" w:hanging="360"/>
      </w:pPr>
      <w:rPr>
        <w:rFonts w:ascii="Courier New" w:hAnsi="Courier New" w:hint="default"/>
      </w:rPr>
    </w:lvl>
    <w:lvl w:ilvl="2" w:tplc="04090005" w:tentative="1">
      <w:start w:val="1"/>
      <w:numFmt w:val="bullet"/>
      <w:lvlText w:val=""/>
      <w:lvlJc w:val="left"/>
      <w:pPr>
        <w:tabs>
          <w:tab w:val="num" w:pos="1451"/>
        </w:tabs>
        <w:ind w:left="1451" w:hanging="360"/>
      </w:pPr>
      <w:rPr>
        <w:rFonts w:ascii="Wingdings" w:hAnsi="Wingdings" w:hint="default"/>
      </w:rPr>
    </w:lvl>
    <w:lvl w:ilvl="3" w:tplc="04090001" w:tentative="1">
      <w:start w:val="1"/>
      <w:numFmt w:val="bullet"/>
      <w:lvlText w:val=""/>
      <w:lvlJc w:val="left"/>
      <w:pPr>
        <w:tabs>
          <w:tab w:val="num" w:pos="2171"/>
        </w:tabs>
        <w:ind w:left="2171" w:hanging="360"/>
      </w:pPr>
      <w:rPr>
        <w:rFonts w:ascii="Symbol" w:hAnsi="Symbol" w:hint="default"/>
      </w:rPr>
    </w:lvl>
    <w:lvl w:ilvl="4" w:tplc="04090003" w:tentative="1">
      <w:start w:val="1"/>
      <w:numFmt w:val="bullet"/>
      <w:lvlText w:val="o"/>
      <w:lvlJc w:val="left"/>
      <w:pPr>
        <w:tabs>
          <w:tab w:val="num" w:pos="2891"/>
        </w:tabs>
        <w:ind w:left="2891" w:hanging="360"/>
      </w:pPr>
      <w:rPr>
        <w:rFonts w:ascii="Courier New" w:hAnsi="Courier New" w:hint="default"/>
      </w:rPr>
    </w:lvl>
    <w:lvl w:ilvl="5" w:tplc="04090005" w:tentative="1">
      <w:start w:val="1"/>
      <w:numFmt w:val="bullet"/>
      <w:lvlText w:val=""/>
      <w:lvlJc w:val="left"/>
      <w:pPr>
        <w:tabs>
          <w:tab w:val="num" w:pos="3611"/>
        </w:tabs>
        <w:ind w:left="3611" w:hanging="360"/>
      </w:pPr>
      <w:rPr>
        <w:rFonts w:ascii="Wingdings" w:hAnsi="Wingdings" w:hint="default"/>
      </w:rPr>
    </w:lvl>
    <w:lvl w:ilvl="6" w:tplc="04090001" w:tentative="1">
      <w:start w:val="1"/>
      <w:numFmt w:val="bullet"/>
      <w:lvlText w:val=""/>
      <w:lvlJc w:val="left"/>
      <w:pPr>
        <w:tabs>
          <w:tab w:val="num" w:pos="4331"/>
        </w:tabs>
        <w:ind w:left="4331" w:hanging="360"/>
      </w:pPr>
      <w:rPr>
        <w:rFonts w:ascii="Symbol" w:hAnsi="Symbol" w:hint="default"/>
      </w:rPr>
    </w:lvl>
    <w:lvl w:ilvl="7" w:tplc="04090003" w:tentative="1">
      <w:start w:val="1"/>
      <w:numFmt w:val="bullet"/>
      <w:lvlText w:val="o"/>
      <w:lvlJc w:val="left"/>
      <w:pPr>
        <w:tabs>
          <w:tab w:val="num" w:pos="5051"/>
        </w:tabs>
        <w:ind w:left="5051" w:hanging="360"/>
      </w:pPr>
      <w:rPr>
        <w:rFonts w:ascii="Courier New" w:hAnsi="Courier New" w:hint="default"/>
      </w:rPr>
    </w:lvl>
    <w:lvl w:ilvl="8" w:tplc="04090005" w:tentative="1">
      <w:start w:val="1"/>
      <w:numFmt w:val="bullet"/>
      <w:lvlText w:val=""/>
      <w:lvlJc w:val="left"/>
      <w:pPr>
        <w:tabs>
          <w:tab w:val="num" w:pos="5771"/>
        </w:tabs>
        <w:ind w:left="5771" w:hanging="360"/>
      </w:pPr>
      <w:rPr>
        <w:rFonts w:ascii="Wingdings" w:hAnsi="Wingdings" w:hint="default"/>
      </w:rPr>
    </w:lvl>
  </w:abstractNum>
  <w:abstractNum w:abstractNumId="19" w15:restartNumberingAfterBreak="0">
    <w:nsid w:val="16B969A0"/>
    <w:multiLevelType w:val="multilevel"/>
    <w:tmpl w:val="F6FCA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88016D2"/>
    <w:multiLevelType w:val="hybridMultilevel"/>
    <w:tmpl w:val="612A0CC0"/>
    <w:lvl w:ilvl="0" w:tplc="72B61D6E">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194E704E"/>
    <w:multiLevelType w:val="hybridMultilevel"/>
    <w:tmpl w:val="6452F7C2"/>
    <w:lvl w:ilvl="0" w:tplc="334E6D8C">
      <w:start w:val="1"/>
      <w:numFmt w:val="bullet"/>
      <w:lvlText w:val="-"/>
      <w:lvlJc w:val="left"/>
      <w:pPr>
        <w:tabs>
          <w:tab w:val="num" w:pos="357"/>
        </w:tabs>
        <w:ind w:left="0" w:firstLine="0"/>
      </w:pPr>
      <w:rPr>
        <w:rFonts w:ascii="Arial" w:eastAsia="Times New Roman" w:hAnsi="Arial" w:hint="default"/>
        <w:w w:val="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19A463F9"/>
    <w:multiLevelType w:val="hybridMultilevel"/>
    <w:tmpl w:val="DB26E07C"/>
    <w:lvl w:ilvl="0" w:tplc="0409000F">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3" w15:restartNumberingAfterBreak="0">
    <w:nsid w:val="1EE271A2"/>
    <w:multiLevelType w:val="hybridMultilevel"/>
    <w:tmpl w:val="68A885B0"/>
    <w:lvl w:ilvl="0" w:tplc="334E6D8C">
      <w:start w:val="1"/>
      <w:numFmt w:val="bullet"/>
      <w:lvlText w:val="-"/>
      <w:lvlJc w:val="left"/>
      <w:pPr>
        <w:tabs>
          <w:tab w:val="num" w:pos="357"/>
        </w:tabs>
        <w:ind w:left="0" w:firstLine="0"/>
      </w:pPr>
      <w:rPr>
        <w:rFonts w:ascii="Arial" w:eastAsia="Times New Roman" w:hAnsi="Arial" w:hint="default"/>
        <w:w w:val="0"/>
      </w:rPr>
    </w:lvl>
    <w:lvl w:ilvl="1" w:tplc="0409000F">
      <w:start w:val="1"/>
      <w:numFmt w:val="decimal"/>
      <w:lvlText w:val="%2."/>
      <w:lvlJc w:val="left"/>
      <w:pPr>
        <w:tabs>
          <w:tab w:val="num" w:pos="1440"/>
        </w:tabs>
        <w:ind w:left="1440" w:hanging="360"/>
      </w:pPr>
      <w:rPr>
        <w:rFonts w:hint="default"/>
        <w:w w:val="0"/>
      </w:rPr>
    </w:lvl>
    <w:lvl w:ilvl="2" w:tplc="CC2482AE">
      <w:start w:val="1"/>
      <w:numFmt w:val="decimal"/>
      <w:lvlText w:val="%3b"/>
      <w:lvlJc w:val="left"/>
      <w:pPr>
        <w:tabs>
          <w:tab w:val="num" w:pos="2160"/>
        </w:tabs>
        <w:ind w:left="2160" w:hanging="360"/>
      </w:pPr>
      <w:rPr>
        <w:rFont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1F566E3C"/>
    <w:multiLevelType w:val="hybridMultilevel"/>
    <w:tmpl w:val="9042A082"/>
    <w:lvl w:ilvl="0" w:tplc="334E6D8C">
      <w:start w:val="1"/>
      <w:numFmt w:val="bullet"/>
      <w:lvlText w:val="-"/>
      <w:lvlJc w:val="left"/>
      <w:pPr>
        <w:tabs>
          <w:tab w:val="num" w:pos="357"/>
        </w:tabs>
        <w:ind w:left="0" w:firstLine="0"/>
      </w:pPr>
      <w:rPr>
        <w:rFonts w:ascii="Arial" w:eastAsia="Times New Roman" w:hAnsi="Arial" w:hint="default"/>
        <w:w w:val="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28575B87"/>
    <w:multiLevelType w:val="hybridMultilevel"/>
    <w:tmpl w:val="BF3CED12"/>
    <w:lvl w:ilvl="0" w:tplc="334E6D8C">
      <w:start w:val="1"/>
      <w:numFmt w:val="bullet"/>
      <w:lvlText w:val="-"/>
      <w:lvlJc w:val="left"/>
      <w:pPr>
        <w:tabs>
          <w:tab w:val="num" w:pos="357"/>
        </w:tabs>
        <w:ind w:left="0" w:firstLine="0"/>
      </w:pPr>
      <w:rPr>
        <w:rFonts w:ascii="Arial" w:eastAsia="Times New Roman" w:hAnsi="Arial" w:hint="default"/>
        <w:w w:val="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28E216AA"/>
    <w:multiLevelType w:val="hybridMultilevel"/>
    <w:tmpl w:val="37A2BD18"/>
    <w:lvl w:ilvl="0" w:tplc="5FBC0304">
      <w:start w:val="1"/>
      <w:numFmt w:val="bullet"/>
      <w:lvlText w:val=""/>
      <w:lvlJc w:val="left"/>
      <w:pPr>
        <w:tabs>
          <w:tab w:val="num" w:pos="720"/>
        </w:tabs>
        <w:ind w:left="717" w:hanging="357"/>
      </w:pPr>
      <w:rPr>
        <w:rFonts w:ascii="Symbol" w:hAnsi="Symbol" w:hint="default"/>
      </w:rPr>
    </w:lvl>
    <w:lvl w:ilvl="1" w:tplc="04090003" w:tentative="1">
      <w:start w:val="1"/>
      <w:numFmt w:val="bullet"/>
      <w:lvlText w:val="o"/>
      <w:lvlJc w:val="left"/>
      <w:pPr>
        <w:tabs>
          <w:tab w:val="num" w:pos="796"/>
        </w:tabs>
        <w:ind w:left="796" w:hanging="360"/>
      </w:pPr>
      <w:rPr>
        <w:rFonts w:ascii="Courier New" w:hAnsi="Courier New" w:hint="default"/>
      </w:rPr>
    </w:lvl>
    <w:lvl w:ilvl="2" w:tplc="04090005" w:tentative="1">
      <w:start w:val="1"/>
      <w:numFmt w:val="bullet"/>
      <w:lvlText w:val=""/>
      <w:lvlJc w:val="left"/>
      <w:pPr>
        <w:tabs>
          <w:tab w:val="num" w:pos="1516"/>
        </w:tabs>
        <w:ind w:left="1516" w:hanging="360"/>
      </w:pPr>
      <w:rPr>
        <w:rFonts w:ascii="Wingdings" w:hAnsi="Wingdings" w:hint="default"/>
      </w:rPr>
    </w:lvl>
    <w:lvl w:ilvl="3" w:tplc="04090001" w:tentative="1">
      <w:start w:val="1"/>
      <w:numFmt w:val="bullet"/>
      <w:lvlText w:val=""/>
      <w:lvlJc w:val="left"/>
      <w:pPr>
        <w:tabs>
          <w:tab w:val="num" w:pos="2236"/>
        </w:tabs>
        <w:ind w:left="2236" w:hanging="360"/>
      </w:pPr>
      <w:rPr>
        <w:rFonts w:ascii="Symbol" w:hAnsi="Symbol" w:hint="default"/>
      </w:rPr>
    </w:lvl>
    <w:lvl w:ilvl="4" w:tplc="04090003" w:tentative="1">
      <w:start w:val="1"/>
      <w:numFmt w:val="bullet"/>
      <w:lvlText w:val="o"/>
      <w:lvlJc w:val="left"/>
      <w:pPr>
        <w:tabs>
          <w:tab w:val="num" w:pos="2956"/>
        </w:tabs>
        <w:ind w:left="2956" w:hanging="360"/>
      </w:pPr>
      <w:rPr>
        <w:rFonts w:ascii="Courier New" w:hAnsi="Courier New" w:hint="default"/>
      </w:rPr>
    </w:lvl>
    <w:lvl w:ilvl="5" w:tplc="04090005" w:tentative="1">
      <w:start w:val="1"/>
      <w:numFmt w:val="bullet"/>
      <w:lvlText w:val=""/>
      <w:lvlJc w:val="left"/>
      <w:pPr>
        <w:tabs>
          <w:tab w:val="num" w:pos="3676"/>
        </w:tabs>
        <w:ind w:left="3676" w:hanging="360"/>
      </w:pPr>
      <w:rPr>
        <w:rFonts w:ascii="Wingdings" w:hAnsi="Wingdings" w:hint="default"/>
      </w:rPr>
    </w:lvl>
    <w:lvl w:ilvl="6" w:tplc="04090001" w:tentative="1">
      <w:start w:val="1"/>
      <w:numFmt w:val="bullet"/>
      <w:lvlText w:val=""/>
      <w:lvlJc w:val="left"/>
      <w:pPr>
        <w:tabs>
          <w:tab w:val="num" w:pos="4396"/>
        </w:tabs>
        <w:ind w:left="4396" w:hanging="360"/>
      </w:pPr>
      <w:rPr>
        <w:rFonts w:ascii="Symbol" w:hAnsi="Symbol" w:hint="default"/>
      </w:rPr>
    </w:lvl>
    <w:lvl w:ilvl="7" w:tplc="04090003" w:tentative="1">
      <w:start w:val="1"/>
      <w:numFmt w:val="bullet"/>
      <w:lvlText w:val="o"/>
      <w:lvlJc w:val="left"/>
      <w:pPr>
        <w:tabs>
          <w:tab w:val="num" w:pos="5116"/>
        </w:tabs>
        <w:ind w:left="5116" w:hanging="360"/>
      </w:pPr>
      <w:rPr>
        <w:rFonts w:ascii="Courier New" w:hAnsi="Courier New" w:hint="default"/>
      </w:rPr>
    </w:lvl>
    <w:lvl w:ilvl="8" w:tplc="04090005" w:tentative="1">
      <w:start w:val="1"/>
      <w:numFmt w:val="bullet"/>
      <w:lvlText w:val=""/>
      <w:lvlJc w:val="left"/>
      <w:pPr>
        <w:tabs>
          <w:tab w:val="num" w:pos="5836"/>
        </w:tabs>
        <w:ind w:left="5836" w:hanging="360"/>
      </w:pPr>
      <w:rPr>
        <w:rFonts w:ascii="Wingdings" w:hAnsi="Wingdings" w:hint="default"/>
      </w:rPr>
    </w:lvl>
  </w:abstractNum>
  <w:abstractNum w:abstractNumId="27" w15:restartNumberingAfterBreak="0">
    <w:nsid w:val="2A2E72EB"/>
    <w:multiLevelType w:val="hybridMultilevel"/>
    <w:tmpl w:val="00AE70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2ED3019C"/>
    <w:multiLevelType w:val="hybridMultilevel"/>
    <w:tmpl w:val="F35CBCDA"/>
    <w:lvl w:ilvl="0" w:tplc="334E6D8C">
      <w:start w:val="1"/>
      <w:numFmt w:val="bullet"/>
      <w:lvlText w:val="-"/>
      <w:lvlJc w:val="left"/>
      <w:pPr>
        <w:tabs>
          <w:tab w:val="num" w:pos="357"/>
        </w:tabs>
        <w:ind w:left="0" w:firstLine="0"/>
      </w:pPr>
      <w:rPr>
        <w:rFonts w:ascii="Arial" w:eastAsia="Times New Roman" w:hAnsi="Arial" w:hint="default"/>
        <w:w w:val="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33F92118"/>
    <w:multiLevelType w:val="hybridMultilevel"/>
    <w:tmpl w:val="8E44373A"/>
    <w:lvl w:ilvl="0" w:tplc="334E6D8C">
      <w:start w:val="1"/>
      <w:numFmt w:val="bullet"/>
      <w:lvlText w:val="-"/>
      <w:lvlJc w:val="left"/>
      <w:pPr>
        <w:tabs>
          <w:tab w:val="num" w:pos="357"/>
        </w:tabs>
        <w:ind w:left="0" w:firstLine="0"/>
      </w:pPr>
      <w:rPr>
        <w:rFonts w:ascii="Arial" w:eastAsia="Times New Roman" w:hAnsi="Arial" w:hint="default"/>
        <w:w w:val="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5C54DEB"/>
    <w:multiLevelType w:val="hybridMultilevel"/>
    <w:tmpl w:val="C952E606"/>
    <w:lvl w:ilvl="0" w:tplc="334E6D8C">
      <w:start w:val="1"/>
      <w:numFmt w:val="bullet"/>
      <w:lvlText w:val="-"/>
      <w:lvlJc w:val="left"/>
      <w:pPr>
        <w:tabs>
          <w:tab w:val="num" w:pos="357"/>
        </w:tabs>
        <w:ind w:left="0" w:firstLine="0"/>
      </w:pPr>
      <w:rPr>
        <w:rFonts w:ascii="Arial" w:eastAsia="Times New Roman" w:hAnsi="Arial" w:hint="default"/>
        <w:w w:val="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7CF2252"/>
    <w:multiLevelType w:val="hybridMultilevel"/>
    <w:tmpl w:val="BD10C0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9A802EC"/>
    <w:multiLevelType w:val="hybridMultilevel"/>
    <w:tmpl w:val="95B017DA"/>
    <w:lvl w:ilvl="0" w:tplc="5FBC0304">
      <w:start w:val="1"/>
      <w:numFmt w:val="bullet"/>
      <w:lvlText w:val=""/>
      <w:lvlJc w:val="left"/>
      <w:pPr>
        <w:tabs>
          <w:tab w:val="num" w:pos="720"/>
        </w:tabs>
        <w:ind w:left="717" w:hanging="357"/>
      </w:pPr>
      <w:rPr>
        <w:rFonts w:ascii="Symbol" w:hAnsi="Symbol" w:hint="default"/>
      </w:rPr>
    </w:lvl>
    <w:lvl w:ilvl="1" w:tplc="04090003" w:tentative="1">
      <w:start w:val="1"/>
      <w:numFmt w:val="bullet"/>
      <w:lvlText w:val="o"/>
      <w:lvlJc w:val="left"/>
      <w:pPr>
        <w:tabs>
          <w:tab w:val="num" w:pos="796"/>
        </w:tabs>
        <w:ind w:left="796" w:hanging="360"/>
      </w:pPr>
      <w:rPr>
        <w:rFonts w:ascii="Courier New" w:hAnsi="Courier New" w:hint="default"/>
      </w:rPr>
    </w:lvl>
    <w:lvl w:ilvl="2" w:tplc="04090005" w:tentative="1">
      <w:start w:val="1"/>
      <w:numFmt w:val="bullet"/>
      <w:lvlText w:val=""/>
      <w:lvlJc w:val="left"/>
      <w:pPr>
        <w:tabs>
          <w:tab w:val="num" w:pos="1516"/>
        </w:tabs>
        <w:ind w:left="1516" w:hanging="360"/>
      </w:pPr>
      <w:rPr>
        <w:rFonts w:ascii="Wingdings" w:hAnsi="Wingdings" w:hint="default"/>
      </w:rPr>
    </w:lvl>
    <w:lvl w:ilvl="3" w:tplc="04090001" w:tentative="1">
      <w:start w:val="1"/>
      <w:numFmt w:val="bullet"/>
      <w:lvlText w:val=""/>
      <w:lvlJc w:val="left"/>
      <w:pPr>
        <w:tabs>
          <w:tab w:val="num" w:pos="2236"/>
        </w:tabs>
        <w:ind w:left="2236" w:hanging="360"/>
      </w:pPr>
      <w:rPr>
        <w:rFonts w:ascii="Symbol" w:hAnsi="Symbol" w:hint="default"/>
      </w:rPr>
    </w:lvl>
    <w:lvl w:ilvl="4" w:tplc="04090003" w:tentative="1">
      <w:start w:val="1"/>
      <w:numFmt w:val="bullet"/>
      <w:lvlText w:val="o"/>
      <w:lvlJc w:val="left"/>
      <w:pPr>
        <w:tabs>
          <w:tab w:val="num" w:pos="2956"/>
        </w:tabs>
        <w:ind w:left="2956" w:hanging="360"/>
      </w:pPr>
      <w:rPr>
        <w:rFonts w:ascii="Courier New" w:hAnsi="Courier New" w:hint="default"/>
      </w:rPr>
    </w:lvl>
    <w:lvl w:ilvl="5" w:tplc="04090005" w:tentative="1">
      <w:start w:val="1"/>
      <w:numFmt w:val="bullet"/>
      <w:lvlText w:val=""/>
      <w:lvlJc w:val="left"/>
      <w:pPr>
        <w:tabs>
          <w:tab w:val="num" w:pos="3676"/>
        </w:tabs>
        <w:ind w:left="3676" w:hanging="360"/>
      </w:pPr>
      <w:rPr>
        <w:rFonts w:ascii="Wingdings" w:hAnsi="Wingdings" w:hint="default"/>
      </w:rPr>
    </w:lvl>
    <w:lvl w:ilvl="6" w:tplc="04090001" w:tentative="1">
      <w:start w:val="1"/>
      <w:numFmt w:val="bullet"/>
      <w:lvlText w:val=""/>
      <w:lvlJc w:val="left"/>
      <w:pPr>
        <w:tabs>
          <w:tab w:val="num" w:pos="4396"/>
        </w:tabs>
        <w:ind w:left="4396" w:hanging="360"/>
      </w:pPr>
      <w:rPr>
        <w:rFonts w:ascii="Symbol" w:hAnsi="Symbol" w:hint="default"/>
      </w:rPr>
    </w:lvl>
    <w:lvl w:ilvl="7" w:tplc="04090003" w:tentative="1">
      <w:start w:val="1"/>
      <w:numFmt w:val="bullet"/>
      <w:lvlText w:val="o"/>
      <w:lvlJc w:val="left"/>
      <w:pPr>
        <w:tabs>
          <w:tab w:val="num" w:pos="5116"/>
        </w:tabs>
        <w:ind w:left="5116" w:hanging="360"/>
      </w:pPr>
      <w:rPr>
        <w:rFonts w:ascii="Courier New" w:hAnsi="Courier New" w:hint="default"/>
      </w:rPr>
    </w:lvl>
    <w:lvl w:ilvl="8" w:tplc="04090005" w:tentative="1">
      <w:start w:val="1"/>
      <w:numFmt w:val="bullet"/>
      <w:lvlText w:val=""/>
      <w:lvlJc w:val="left"/>
      <w:pPr>
        <w:tabs>
          <w:tab w:val="num" w:pos="5836"/>
        </w:tabs>
        <w:ind w:left="5836" w:hanging="360"/>
      </w:pPr>
      <w:rPr>
        <w:rFonts w:ascii="Wingdings" w:hAnsi="Wingdings" w:hint="default"/>
      </w:rPr>
    </w:lvl>
  </w:abstractNum>
  <w:abstractNum w:abstractNumId="33" w15:restartNumberingAfterBreak="0">
    <w:nsid w:val="50213F45"/>
    <w:multiLevelType w:val="hybridMultilevel"/>
    <w:tmpl w:val="EF18181A"/>
    <w:lvl w:ilvl="0" w:tplc="334E6D8C">
      <w:start w:val="1"/>
      <w:numFmt w:val="bullet"/>
      <w:lvlText w:val="-"/>
      <w:lvlJc w:val="left"/>
      <w:pPr>
        <w:tabs>
          <w:tab w:val="num" w:pos="357"/>
        </w:tabs>
        <w:ind w:left="0" w:firstLine="0"/>
      </w:pPr>
      <w:rPr>
        <w:rFonts w:ascii="Arial" w:eastAsia="Times New Roman" w:hAnsi="Arial" w:hint="default"/>
        <w:w w:val="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6A542D9"/>
    <w:multiLevelType w:val="multilevel"/>
    <w:tmpl w:val="9EFCB86C"/>
    <w:lvl w:ilvl="0">
      <w:start w:val="1"/>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35" w15:restartNumberingAfterBreak="0">
    <w:nsid w:val="641D6EDF"/>
    <w:multiLevelType w:val="hybridMultilevel"/>
    <w:tmpl w:val="3E5231EA"/>
    <w:lvl w:ilvl="0" w:tplc="334E6D8C">
      <w:start w:val="1"/>
      <w:numFmt w:val="bullet"/>
      <w:lvlText w:val="-"/>
      <w:lvlJc w:val="left"/>
      <w:pPr>
        <w:tabs>
          <w:tab w:val="num" w:pos="357"/>
        </w:tabs>
        <w:ind w:left="0" w:firstLine="0"/>
      </w:pPr>
      <w:rPr>
        <w:rFonts w:ascii="Arial" w:eastAsia="Times New Roman" w:hAnsi="Arial" w:hint="default"/>
        <w:w w:val="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6FC1936"/>
    <w:multiLevelType w:val="hybridMultilevel"/>
    <w:tmpl w:val="FFFFFFFF"/>
    <w:lvl w:ilvl="0" w:tplc="E210FBAA">
      <w:start w:val="1"/>
      <w:numFmt w:val="bullet"/>
      <w:lvlText w:val=""/>
      <w:lvlJc w:val="left"/>
      <w:pPr>
        <w:ind w:left="720" w:hanging="360"/>
      </w:pPr>
      <w:rPr>
        <w:rFonts w:ascii="Symbol" w:hAnsi="Symbol" w:hint="default"/>
      </w:rPr>
    </w:lvl>
    <w:lvl w:ilvl="1" w:tplc="6D1C5F66">
      <w:start w:val="1"/>
      <w:numFmt w:val="bullet"/>
      <w:lvlText w:val="o"/>
      <w:lvlJc w:val="left"/>
      <w:pPr>
        <w:ind w:left="1440" w:hanging="360"/>
      </w:pPr>
      <w:rPr>
        <w:rFonts w:ascii="Courier New" w:hAnsi="Courier New" w:hint="default"/>
      </w:rPr>
    </w:lvl>
    <w:lvl w:ilvl="2" w:tplc="2E1E847E">
      <w:start w:val="1"/>
      <w:numFmt w:val="bullet"/>
      <w:lvlText w:val=""/>
      <w:lvlJc w:val="left"/>
      <w:pPr>
        <w:ind w:left="2160" w:hanging="360"/>
      </w:pPr>
      <w:rPr>
        <w:rFonts w:ascii="Wingdings" w:hAnsi="Wingdings" w:hint="default"/>
      </w:rPr>
    </w:lvl>
    <w:lvl w:ilvl="3" w:tplc="57B8C29A">
      <w:start w:val="1"/>
      <w:numFmt w:val="bullet"/>
      <w:lvlText w:val=""/>
      <w:lvlJc w:val="left"/>
      <w:pPr>
        <w:ind w:left="2880" w:hanging="360"/>
      </w:pPr>
      <w:rPr>
        <w:rFonts w:ascii="Symbol" w:hAnsi="Symbol" w:hint="default"/>
      </w:rPr>
    </w:lvl>
    <w:lvl w:ilvl="4" w:tplc="2F22B196">
      <w:start w:val="1"/>
      <w:numFmt w:val="bullet"/>
      <w:lvlText w:val="o"/>
      <w:lvlJc w:val="left"/>
      <w:pPr>
        <w:ind w:left="3600" w:hanging="360"/>
      </w:pPr>
      <w:rPr>
        <w:rFonts w:ascii="Courier New" w:hAnsi="Courier New" w:hint="default"/>
      </w:rPr>
    </w:lvl>
    <w:lvl w:ilvl="5" w:tplc="5AFCE37E">
      <w:start w:val="1"/>
      <w:numFmt w:val="bullet"/>
      <w:lvlText w:val=""/>
      <w:lvlJc w:val="left"/>
      <w:pPr>
        <w:ind w:left="4320" w:hanging="360"/>
      </w:pPr>
      <w:rPr>
        <w:rFonts w:ascii="Wingdings" w:hAnsi="Wingdings" w:hint="default"/>
      </w:rPr>
    </w:lvl>
    <w:lvl w:ilvl="6" w:tplc="E9AAD3E4">
      <w:start w:val="1"/>
      <w:numFmt w:val="bullet"/>
      <w:lvlText w:val=""/>
      <w:lvlJc w:val="left"/>
      <w:pPr>
        <w:ind w:left="5040" w:hanging="360"/>
      </w:pPr>
      <w:rPr>
        <w:rFonts w:ascii="Symbol" w:hAnsi="Symbol" w:hint="default"/>
      </w:rPr>
    </w:lvl>
    <w:lvl w:ilvl="7" w:tplc="5B7C2AAC">
      <w:start w:val="1"/>
      <w:numFmt w:val="bullet"/>
      <w:lvlText w:val="o"/>
      <w:lvlJc w:val="left"/>
      <w:pPr>
        <w:ind w:left="5760" w:hanging="360"/>
      </w:pPr>
      <w:rPr>
        <w:rFonts w:ascii="Courier New" w:hAnsi="Courier New" w:hint="default"/>
      </w:rPr>
    </w:lvl>
    <w:lvl w:ilvl="8" w:tplc="7A8A60D8">
      <w:start w:val="1"/>
      <w:numFmt w:val="bullet"/>
      <w:lvlText w:val=""/>
      <w:lvlJc w:val="left"/>
      <w:pPr>
        <w:ind w:left="6480" w:hanging="360"/>
      </w:pPr>
      <w:rPr>
        <w:rFonts w:ascii="Wingdings" w:hAnsi="Wingdings" w:hint="default"/>
      </w:rPr>
    </w:lvl>
  </w:abstractNum>
  <w:abstractNum w:abstractNumId="37" w15:restartNumberingAfterBreak="0">
    <w:nsid w:val="6A756B84"/>
    <w:multiLevelType w:val="multilevel"/>
    <w:tmpl w:val="AB626FE8"/>
    <w:lvl w:ilvl="0">
      <w:start w:val="1"/>
      <w:numFmt w:val="decimal"/>
      <w:lvlText w:val="%1."/>
      <w:lvlJc w:val="left"/>
      <w:pPr>
        <w:ind w:left="720" w:hanging="360"/>
      </w:pPr>
      <w:rPr>
        <w:rFonts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C401720"/>
    <w:multiLevelType w:val="multilevel"/>
    <w:tmpl w:val="BD10C00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D145F88"/>
    <w:multiLevelType w:val="hybridMultilevel"/>
    <w:tmpl w:val="5DFAC524"/>
    <w:lvl w:ilvl="0" w:tplc="334E6D8C">
      <w:start w:val="1"/>
      <w:numFmt w:val="bullet"/>
      <w:lvlText w:val="-"/>
      <w:lvlJc w:val="left"/>
      <w:pPr>
        <w:tabs>
          <w:tab w:val="num" w:pos="357"/>
        </w:tabs>
        <w:ind w:left="0" w:firstLine="0"/>
      </w:pPr>
      <w:rPr>
        <w:rFonts w:ascii="Arial" w:eastAsia="Times New Roman" w:hAnsi="Arial" w:hint="default"/>
        <w:w w:val="0"/>
      </w:rPr>
    </w:lvl>
    <w:lvl w:ilvl="1" w:tplc="0409000F">
      <w:start w:val="1"/>
      <w:numFmt w:val="decimal"/>
      <w:lvlText w:val="%2."/>
      <w:lvlJc w:val="left"/>
      <w:pPr>
        <w:tabs>
          <w:tab w:val="num" w:pos="1440"/>
        </w:tabs>
        <w:ind w:left="1440" w:hanging="360"/>
      </w:pPr>
      <w:rPr>
        <w:rFonts w:hint="default"/>
        <w:w w:val="0"/>
      </w:rPr>
    </w:lvl>
    <w:lvl w:ilvl="2" w:tplc="CC2482AE">
      <w:start w:val="1"/>
      <w:numFmt w:val="decimal"/>
      <w:lvlText w:val="%3b"/>
      <w:lvlJc w:val="left"/>
      <w:pPr>
        <w:tabs>
          <w:tab w:val="num" w:pos="2160"/>
        </w:tabs>
        <w:ind w:left="2160" w:hanging="360"/>
      </w:pPr>
      <w:rPr>
        <w:rFont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D484484"/>
    <w:multiLevelType w:val="hybridMultilevel"/>
    <w:tmpl w:val="653AB940"/>
    <w:lvl w:ilvl="0" w:tplc="5FBC0304">
      <w:start w:val="1"/>
      <w:numFmt w:val="bullet"/>
      <w:lvlText w:val=""/>
      <w:lvlJc w:val="left"/>
      <w:pPr>
        <w:tabs>
          <w:tab w:val="num" w:pos="720"/>
        </w:tabs>
        <w:ind w:left="717" w:hanging="357"/>
      </w:pPr>
      <w:rPr>
        <w:rFonts w:ascii="Symbol" w:hAnsi="Symbol" w:hint="default"/>
      </w:rPr>
    </w:lvl>
    <w:lvl w:ilvl="1" w:tplc="04090003" w:tentative="1">
      <w:start w:val="1"/>
      <w:numFmt w:val="bullet"/>
      <w:lvlText w:val="o"/>
      <w:lvlJc w:val="left"/>
      <w:pPr>
        <w:tabs>
          <w:tab w:val="num" w:pos="796"/>
        </w:tabs>
        <w:ind w:left="796" w:hanging="360"/>
      </w:pPr>
      <w:rPr>
        <w:rFonts w:ascii="Courier New" w:hAnsi="Courier New" w:hint="default"/>
      </w:rPr>
    </w:lvl>
    <w:lvl w:ilvl="2" w:tplc="04090005" w:tentative="1">
      <w:start w:val="1"/>
      <w:numFmt w:val="bullet"/>
      <w:lvlText w:val=""/>
      <w:lvlJc w:val="left"/>
      <w:pPr>
        <w:tabs>
          <w:tab w:val="num" w:pos="1516"/>
        </w:tabs>
        <w:ind w:left="1516" w:hanging="360"/>
      </w:pPr>
      <w:rPr>
        <w:rFonts w:ascii="Wingdings" w:hAnsi="Wingdings" w:hint="default"/>
      </w:rPr>
    </w:lvl>
    <w:lvl w:ilvl="3" w:tplc="04090001" w:tentative="1">
      <w:start w:val="1"/>
      <w:numFmt w:val="bullet"/>
      <w:lvlText w:val=""/>
      <w:lvlJc w:val="left"/>
      <w:pPr>
        <w:tabs>
          <w:tab w:val="num" w:pos="2236"/>
        </w:tabs>
        <w:ind w:left="2236" w:hanging="360"/>
      </w:pPr>
      <w:rPr>
        <w:rFonts w:ascii="Symbol" w:hAnsi="Symbol" w:hint="default"/>
      </w:rPr>
    </w:lvl>
    <w:lvl w:ilvl="4" w:tplc="04090003" w:tentative="1">
      <w:start w:val="1"/>
      <w:numFmt w:val="bullet"/>
      <w:lvlText w:val="o"/>
      <w:lvlJc w:val="left"/>
      <w:pPr>
        <w:tabs>
          <w:tab w:val="num" w:pos="2956"/>
        </w:tabs>
        <w:ind w:left="2956" w:hanging="360"/>
      </w:pPr>
      <w:rPr>
        <w:rFonts w:ascii="Courier New" w:hAnsi="Courier New" w:hint="default"/>
      </w:rPr>
    </w:lvl>
    <w:lvl w:ilvl="5" w:tplc="04090005" w:tentative="1">
      <w:start w:val="1"/>
      <w:numFmt w:val="bullet"/>
      <w:lvlText w:val=""/>
      <w:lvlJc w:val="left"/>
      <w:pPr>
        <w:tabs>
          <w:tab w:val="num" w:pos="3676"/>
        </w:tabs>
        <w:ind w:left="3676" w:hanging="360"/>
      </w:pPr>
      <w:rPr>
        <w:rFonts w:ascii="Wingdings" w:hAnsi="Wingdings" w:hint="default"/>
      </w:rPr>
    </w:lvl>
    <w:lvl w:ilvl="6" w:tplc="04090001" w:tentative="1">
      <w:start w:val="1"/>
      <w:numFmt w:val="bullet"/>
      <w:lvlText w:val=""/>
      <w:lvlJc w:val="left"/>
      <w:pPr>
        <w:tabs>
          <w:tab w:val="num" w:pos="4396"/>
        </w:tabs>
        <w:ind w:left="4396" w:hanging="360"/>
      </w:pPr>
      <w:rPr>
        <w:rFonts w:ascii="Symbol" w:hAnsi="Symbol" w:hint="default"/>
      </w:rPr>
    </w:lvl>
    <w:lvl w:ilvl="7" w:tplc="04090003" w:tentative="1">
      <w:start w:val="1"/>
      <w:numFmt w:val="bullet"/>
      <w:lvlText w:val="o"/>
      <w:lvlJc w:val="left"/>
      <w:pPr>
        <w:tabs>
          <w:tab w:val="num" w:pos="5116"/>
        </w:tabs>
        <w:ind w:left="5116" w:hanging="360"/>
      </w:pPr>
      <w:rPr>
        <w:rFonts w:ascii="Courier New" w:hAnsi="Courier New" w:hint="default"/>
      </w:rPr>
    </w:lvl>
    <w:lvl w:ilvl="8" w:tplc="04090005" w:tentative="1">
      <w:start w:val="1"/>
      <w:numFmt w:val="bullet"/>
      <w:lvlText w:val=""/>
      <w:lvlJc w:val="left"/>
      <w:pPr>
        <w:tabs>
          <w:tab w:val="num" w:pos="5836"/>
        </w:tabs>
        <w:ind w:left="5836" w:hanging="360"/>
      </w:pPr>
      <w:rPr>
        <w:rFonts w:ascii="Wingdings" w:hAnsi="Wingdings" w:hint="default"/>
      </w:rPr>
    </w:lvl>
  </w:abstractNum>
  <w:abstractNum w:abstractNumId="41" w15:restartNumberingAfterBreak="0">
    <w:nsid w:val="6FB71517"/>
    <w:multiLevelType w:val="multilevel"/>
    <w:tmpl w:val="6D4A0A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33638EC"/>
    <w:multiLevelType w:val="hybridMultilevel"/>
    <w:tmpl w:val="33F0D0B2"/>
    <w:lvl w:ilvl="0" w:tplc="0409000F">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43" w15:restartNumberingAfterBreak="0">
    <w:nsid w:val="77654240"/>
    <w:multiLevelType w:val="hybridMultilevel"/>
    <w:tmpl w:val="AE58D7D6"/>
    <w:lvl w:ilvl="0" w:tplc="334E6D8C">
      <w:start w:val="1"/>
      <w:numFmt w:val="bullet"/>
      <w:lvlText w:val="-"/>
      <w:lvlJc w:val="left"/>
      <w:pPr>
        <w:tabs>
          <w:tab w:val="num" w:pos="357"/>
        </w:tabs>
        <w:ind w:left="0" w:firstLine="0"/>
      </w:pPr>
      <w:rPr>
        <w:rFonts w:ascii="Arial" w:eastAsia="Times New Roman" w:hAnsi="Arial" w:hint="default"/>
        <w:w w:val="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E136A20"/>
    <w:multiLevelType w:val="hybridMultilevel"/>
    <w:tmpl w:val="406CE010"/>
    <w:lvl w:ilvl="0" w:tplc="334E6D8C">
      <w:start w:val="1"/>
      <w:numFmt w:val="bullet"/>
      <w:lvlText w:val="-"/>
      <w:lvlJc w:val="left"/>
      <w:pPr>
        <w:tabs>
          <w:tab w:val="num" w:pos="357"/>
        </w:tabs>
        <w:ind w:left="0" w:firstLine="0"/>
      </w:pPr>
      <w:rPr>
        <w:rFonts w:ascii="Arial" w:eastAsia="Times New Roman" w:hAnsi="Arial" w:hint="default"/>
        <w:w w:val="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E956D7B"/>
    <w:multiLevelType w:val="hybridMultilevel"/>
    <w:tmpl w:val="9D7873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75179218">
    <w:abstractNumId w:val="31"/>
  </w:num>
  <w:num w:numId="2" w16cid:durableId="1532374038">
    <w:abstractNumId w:val="38"/>
  </w:num>
  <w:num w:numId="3" w16cid:durableId="1543206425">
    <w:abstractNumId w:val="16"/>
  </w:num>
  <w:num w:numId="4" w16cid:durableId="844634455">
    <w:abstractNumId w:val="43"/>
  </w:num>
  <w:num w:numId="5" w16cid:durableId="992755732">
    <w:abstractNumId w:val="11"/>
  </w:num>
  <w:num w:numId="6" w16cid:durableId="1498377873">
    <w:abstractNumId w:val="12"/>
  </w:num>
  <w:num w:numId="7" w16cid:durableId="449663513">
    <w:abstractNumId w:val="13"/>
  </w:num>
  <w:num w:numId="8" w16cid:durableId="970942453">
    <w:abstractNumId w:val="39"/>
  </w:num>
  <w:num w:numId="9" w16cid:durableId="428548702">
    <w:abstractNumId w:val="35"/>
  </w:num>
  <w:num w:numId="10" w16cid:durableId="288362559">
    <w:abstractNumId w:val="24"/>
  </w:num>
  <w:num w:numId="11" w16cid:durableId="103230244">
    <w:abstractNumId w:val="21"/>
  </w:num>
  <w:num w:numId="12" w16cid:durableId="1577931243">
    <w:abstractNumId w:val="32"/>
  </w:num>
  <w:num w:numId="13" w16cid:durableId="426661825">
    <w:abstractNumId w:val="26"/>
  </w:num>
  <w:num w:numId="14" w16cid:durableId="2024283445">
    <w:abstractNumId w:val="40"/>
  </w:num>
  <w:num w:numId="15" w16cid:durableId="277034254">
    <w:abstractNumId w:val="18"/>
  </w:num>
  <w:num w:numId="16" w16cid:durableId="1495535706">
    <w:abstractNumId w:val="42"/>
  </w:num>
  <w:num w:numId="17" w16cid:durableId="822963853">
    <w:abstractNumId w:val="22"/>
  </w:num>
  <w:num w:numId="18" w16cid:durableId="1546990470">
    <w:abstractNumId w:val="28"/>
  </w:num>
  <w:num w:numId="19" w16cid:durableId="1994722520">
    <w:abstractNumId w:val="30"/>
  </w:num>
  <w:num w:numId="20" w16cid:durableId="1688556642">
    <w:abstractNumId w:val="29"/>
  </w:num>
  <w:num w:numId="21" w16cid:durableId="36976235">
    <w:abstractNumId w:val="23"/>
  </w:num>
  <w:num w:numId="22" w16cid:durableId="268318842">
    <w:abstractNumId w:val="33"/>
  </w:num>
  <w:num w:numId="23" w16cid:durableId="1519931892">
    <w:abstractNumId w:val="44"/>
  </w:num>
  <w:num w:numId="24" w16cid:durableId="2114477136">
    <w:abstractNumId w:val="25"/>
  </w:num>
  <w:num w:numId="25" w16cid:durableId="1319074373">
    <w:abstractNumId w:val="0"/>
  </w:num>
  <w:num w:numId="26" w16cid:durableId="838734195">
    <w:abstractNumId w:val="10"/>
  </w:num>
  <w:num w:numId="27" w16cid:durableId="699092520">
    <w:abstractNumId w:val="8"/>
  </w:num>
  <w:num w:numId="28" w16cid:durableId="770660234">
    <w:abstractNumId w:val="7"/>
  </w:num>
  <w:num w:numId="29" w16cid:durableId="374237972">
    <w:abstractNumId w:val="6"/>
  </w:num>
  <w:num w:numId="30" w16cid:durableId="1556431569">
    <w:abstractNumId w:val="5"/>
  </w:num>
  <w:num w:numId="31" w16cid:durableId="1750419507">
    <w:abstractNumId w:val="9"/>
  </w:num>
  <w:num w:numId="32" w16cid:durableId="865027330">
    <w:abstractNumId w:val="4"/>
  </w:num>
  <w:num w:numId="33" w16cid:durableId="2000814107">
    <w:abstractNumId w:val="3"/>
  </w:num>
  <w:num w:numId="34" w16cid:durableId="377704208">
    <w:abstractNumId w:val="2"/>
  </w:num>
  <w:num w:numId="35" w16cid:durableId="497892377">
    <w:abstractNumId w:val="1"/>
  </w:num>
  <w:num w:numId="36" w16cid:durableId="1466698306">
    <w:abstractNumId w:val="37"/>
  </w:num>
  <w:num w:numId="37" w16cid:durableId="1405958337">
    <w:abstractNumId w:val="41"/>
  </w:num>
  <w:num w:numId="38" w16cid:durableId="112017193">
    <w:abstractNumId w:val="27"/>
  </w:num>
  <w:num w:numId="39" w16cid:durableId="476072246">
    <w:abstractNumId w:val="14"/>
  </w:num>
  <w:num w:numId="40" w16cid:durableId="1107047408">
    <w:abstractNumId w:val="34"/>
  </w:num>
  <w:num w:numId="41" w16cid:durableId="737896349">
    <w:abstractNumId w:val="45"/>
  </w:num>
  <w:num w:numId="42" w16cid:durableId="839780639">
    <w:abstractNumId w:val="19"/>
  </w:num>
  <w:num w:numId="43" w16cid:durableId="1024139290">
    <w:abstractNumId w:val="17"/>
  </w:num>
  <w:num w:numId="44" w16cid:durableId="700325100">
    <w:abstractNumId w:val="36"/>
  </w:num>
  <w:num w:numId="45" w16cid:durableId="1203857679">
    <w:abstractNumId w:val="15"/>
  </w:num>
  <w:num w:numId="46" w16cid:durableId="150146205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4"/>
  <w:embedSystemFonts/>
  <w:proofState w:spelling="clean" w:grammar="clean"/>
  <w:attachedTemplate r:id="rId1"/>
  <w:defaultTabStop w:val="720"/>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7819"/>
    <w:rsid w:val="00002F69"/>
    <w:rsid w:val="000432EB"/>
    <w:rsid w:val="00064A4B"/>
    <w:rsid w:val="00070141"/>
    <w:rsid w:val="00076BD0"/>
    <w:rsid w:val="0008226D"/>
    <w:rsid w:val="000A5EE7"/>
    <w:rsid w:val="000B4F5A"/>
    <w:rsid w:val="000C64AD"/>
    <w:rsid w:val="000C7443"/>
    <w:rsid w:val="000E1AAE"/>
    <w:rsid w:val="000F1A6B"/>
    <w:rsid w:val="00101CFD"/>
    <w:rsid w:val="001031C2"/>
    <w:rsid w:val="00125AEB"/>
    <w:rsid w:val="00137A44"/>
    <w:rsid w:val="00183946"/>
    <w:rsid w:val="001B425D"/>
    <w:rsid w:val="001B4828"/>
    <w:rsid w:val="001C47A6"/>
    <w:rsid w:val="001D3CC9"/>
    <w:rsid w:val="002055E6"/>
    <w:rsid w:val="00212068"/>
    <w:rsid w:val="002224DC"/>
    <w:rsid w:val="00240127"/>
    <w:rsid w:val="002450F6"/>
    <w:rsid w:val="00251206"/>
    <w:rsid w:val="00260D5E"/>
    <w:rsid w:val="0028381D"/>
    <w:rsid w:val="00291DD3"/>
    <w:rsid w:val="002A164D"/>
    <w:rsid w:val="002B4554"/>
    <w:rsid w:val="002C78C4"/>
    <w:rsid w:val="002D53C5"/>
    <w:rsid w:val="002E29D2"/>
    <w:rsid w:val="002F03B7"/>
    <w:rsid w:val="002F4268"/>
    <w:rsid w:val="00317C60"/>
    <w:rsid w:val="00351C3A"/>
    <w:rsid w:val="00352329"/>
    <w:rsid w:val="00352DEC"/>
    <w:rsid w:val="00362143"/>
    <w:rsid w:val="003652DB"/>
    <w:rsid w:val="003658EF"/>
    <w:rsid w:val="0036741B"/>
    <w:rsid w:val="003D4B50"/>
    <w:rsid w:val="003E03F2"/>
    <w:rsid w:val="00400998"/>
    <w:rsid w:val="0043296C"/>
    <w:rsid w:val="00446F78"/>
    <w:rsid w:val="00480F6E"/>
    <w:rsid w:val="00487997"/>
    <w:rsid w:val="00491F23"/>
    <w:rsid w:val="004A6652"/>
    <w:rsid w:val="004C177C"/>
    <w:rsid w:val="004C46F3"/>
    <w:rsid w:val="004C66A9"/>
    <w:rsid w:val="00500114"/>
    <w:rsid w:val="00510735"/>
    <w:rsid w:val="00543738"/>
    <w:rsid w:val="00555E51"/>
    <w:rsid w:val="00581008"/>
    <w:rsid w:val="00583B98"/>
    <w:rsid w:val="00584CEA"/>
    <w:rsid w:val="005A6A3B"/>
    <w:rsid w:val="005C1C45"/>
    <w:rsid w:val="005C4155"/>
    <w:rsid w:val="005D5C15"/>
    <w:rsid w:val="005F5F00"/>
    <w:rsid w:val="00604D51"/>
    <w:rsid w:val="0060737B"/>
    <w:rsid w:val="00614E18"/>
    <w:rsid w:val="00617E3D"/>
    <w:rsid w:val="006250EF"/>
    <w:rsid w:val="006264DE"/>
    <w:rsid w:val="00630271"/>
    <w:rsid w:val="006303EF"/>
    <w:rsid w:val="006334B8"/>
    <w:rsid w:val="006371C8"/>
    <w:rsid w:val="00650525"/>
    <w:rsid w:val="00667788"/>
    <w:rsid w:val="00677754"/>
    <w:rsid w:val="006B66DB"/>
    <w:rsid w:val="006C1417"/>
    <w:rsid w:val="00702116"/>
    <w:rsid w:val="0073499D"/>
    <w:rsid w:val="007469E0"/>
    <w:rsid w:val="007879BF"/>
    <w:rsid w:val="00787AA0"/>
    <w:rsid w:val="007A2392"/>
    <w:rsid w:val="007A4520"/>
    <w:rsid w:val="007F0304"/>
    <w:rsid w:val="00825E6D"/>
    <w:rsid w:val="008261D5"/>
    <w:rsid w:val="00857D01"/>
    <w:rsid w:val="00857EEF"/>
    <w:rsid w:val="008669CF"/>
    <w:rsid w:val="0086768F"/>
    <w:rsid w:val="00887556"/>
    <w:rsid w:val="00887819"/>
    <w:rsid w:val="0089408B"/>
    <w:rsid w:val="008C5ECE"/>
    <w:rsid w:val="008D4BC1"/>
    <w:rsid w:val="008E5844"/>
    <w:rsid w:val="00901B7B"/>
    <w:rsid w:val="00934DF3"/>
    <w:rsid w:val="00937204"/>
    <w:rsid w:val="009539AA"/>
    <w:rsid w:val="009626A7"/>
    <w:rsid w:val="00976592"/>
    <w:rsid w:val="009943DF"/>
    <w:rsid w:val="009A2223"/>
    <w:rsid w:val="009B5A48"/>
    <w:rsid w:val="009C29D6"/>
    <w:rsid w:val="009E2E8D"/>
    <w:rsid w:val="009F622B"/>
    <w:rsid w:val="00A02B29"/>
    <w:rsid w:val="00A03B63"/>
    <w:rsid w:val="00A2487B"/>
    <w:rsid w:val="00A816F0"/>
    <w:rsid w:val="00A8402E"/>
    <w:rsid w:val="00AA1EE9"/>
    <w:rsid w:val="00AA371B"/>
    <w:rsid w:val="00AB04BC"/>
    <w:rsid w:val="00AC0E47"/>
    <w:rsid w:val="00AC5449"/>
    <w:rsid w:val="00AD5581"/>
    <w:rsid w:val="00B034E7"/>
    <w:rsid w:val="00B1536D"/>
    <w:rsid w:val="00B226E7"/>
    <w:rsid w:val="00B23A4C"/>
    <w:rsid w:val="00B778BC"/>
    <w:rsid w:val="00BA3A6F"/>
    <w:rsid w:val="00BA7F4E"/>
    <w:rsid w:val="00BB6A9B"/>
    <w:rsid w:val="00BC0A44"/>
    <w:rsid w:val="00BC477D"/>
    <w:rsid w:val="00BD0852"/>
    <w:rsid w:val="00BD64DB"/>
    <w:rsid w:val="00C64C52"/>
    <w:rsid w:val="00C828EB"/>
    <w:rsid w:val="00CB6B45"/>
    <w:rsid w:val="00CC6AE3"/>
    <w:rsid w:val="00D00365"/>
    <w:rsid w:val="00D040F7"/>
    <w:rsid w:val="00D15A56"/>
    <w:rsid w:val="00D25C1B"/>
    <w:rsid w:val="00D31607"/>
    <w:rsid w:val="00D66CE5"/>
    <w:rsid w:val="00D705E9"/>
    <w:rsid w:val="00D91E9D"/>
    <w:rsid w:val="00D9627E"/>
    <w:rsid w:val="00DA3EB9"/>
    <w:rsid w:val="00DA4C96"/>
    <w:rsid w:val="00DD2D0D"/>
    <w:rsid w:val="00E26E6C"/>
    <w:rsid w:val="00E841B3"/>
    <w:rsid w:val="00EA00A8"/>
    <w:rsid w:val="00EA53FF"/>
    <w:rsid w:val="00EB07B3"/>
    <w:rsid w:val="00ED5924"/>
    <w:rsid w:val="00ED6D21"/>
    <w:rsid w:val="00F05DA7"/>
    <w:rsid w:val="00F20AE4"/>
    <w:rsid w:val="00F3631D"/>
    <w:rsid w:val="00F624CF"/>
    <w:rsid w:val="00F76A98"/>
    <w:rsid w:val="00F84296"/>
    <w:rsid w:val="00FA40A2"/>
    <w:rsid w:val="00FC02E4"/>
    <w:rsid w:val="017D7D5C"/>
    <w:rsid w:val="032B2FC7"/>
    <w:rsid w:val="03E8CA02"/>
    <w:rsid w:val="0507FA31"/>
    <w:rsid w:val="05E98C7A"/>
    <w:rsid w:val="0DB16691"/>
    <w:rsid w:val="109FAC5D"/>
    <w:rsid w:val="149528EB"/>
    <w:rsid w:val="1961122A"/>
    <w:rsid w:val="19F287EC"/>
    <w:rsid w:val="1B0AC363"/>
    <w:rsid w:val="1DE8047A"/>
    <w:rsid w:val="25148A52"/>
    <w:rsid w:val="26A96A47"/>
    <w:rsid w:val="273AE009"/>
    <w:rsid w:val="28870DBA"/>
    <w:rsid w:val="2B305C97"/>
    <w:rsid w:val="2CDEBA33"/>
    <w:rsid w:val="2D3AFD8C"/>
    <w:rsid w:val="2DC45861"/>
    <w:rsid w:val="2DF970D0"/>
    <w:rsid w:val="331B55B3"/>
    <w:rsid w:val="360D680E"/>
    <w:rsid w:val="36CA3B6A"/>
    <w:rsid w:val="378C41D7"/>
    <w:rsid w:val="37E73EF2"/>
    <w:rsid w:val="383E5F5C"/>
    <w:rsid w:val="3B6AC70F"/>
    <w:rsid w:val="3C71FDD1"/>
    <w:rsid w:val="3CB32831"/>
    <w:rsid w:val="3F921A63"/>
    <w:rsid w:val="413A1A81"/>
    <w:rsid w:val="4344BB76"/>
    <w:rsid w:val="44032EBA"/>
    <w:rsid w:val="45748DFE"/>
    <w:rsid w:val="47AF21CD"/>
    <w:rsid w:val="47DE7611"/>
    <w:rsid w:val="4810A4B5"/>
    <w:rsid w:val="49FB804E"/>
    <w:rsid w:val="4DF0FCDC"/>
    <w:rsid w:val="4E82729E"/>
    <w:rsid w:val="4F9AAE15"/>
    <w:rsid w:val="514B86D7"/>
    <w:rsid w:val="5266EA77"/>
    <w:rsid w:val="52BCE61B"/>
    <w:rsid w:val="534E5BDD"/>
    <w:rsid w:val="53D48A1A"/>
    <w:rsid w:val="558F2D7C"/>
    <w:rsid w:val="559DF3C1"/>
    <w:rsid w:val="56406E38"/>
    <w:rsid w:val="56EDDCC7"/>
    <w:rsid w:val="5743D86B"/>
    <w:rsid w:val="5747A4FA"/>
    <w:rsid w:val="58ED8DF0"/>
    <w:rsid w:val="595F7E15"/>
    <w:rsid w:val="5C5360C6"/>
    <w:rsid w:val="5CBA0810"/>
    <w:rsid w:val="5EA65645"/>
    <w:rsid w:val="5EBCDD16"/>
    <w:rsid w:val="611D79AF"/>
    <w:rsid w:val="6593674A"/>
    <w:rsid w:val="65A46BFF"/>
    <w:rsid w:val="66F2AF50"/>
    <w:rsid w:val="675544C1"/>
    <w:rsid w:val="69F1D1B1"/>
    <w:rsid w:val="6D4D9655"/>
    <w:rsid w:val="6E65D1CC"/>
    <w:rsid w:val="6F693BFF"/>
    <w:rsid w:val="714312E3"/>
    <w:rsid w:val="720552B6"/>
    <w:rsid w:val="72ECC41C"/>
    <w:rsid w:val="7435253E"/>
    <w:rsid w:val="7668B7BA"/>
    <w:rsid w:val="7B1366D1"/>
    <w:rsid w:val="7CB1941C"/>
    <w:rsid w:val="7EE21D09"/>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00FFA927"/>
  <w15:docId w15:val="{DF466EE7-4530-4C7E-8416-E37A167C2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qFormat="1"/>
    <w:lsdException w:name="Colorful Grid" w:qFormat="1"/>
    <w:lsdException w:name="Light Shading Accent 1" w:qFormat="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Dark List Accent 6"/>
    <w:lsdException w:name="Colorful Shading Accent 6"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80F6E"/>
    <w:rPr>
      <w:sz w:val="24"/>
    </w:rPr>
  </w:style>
  <w:style w:type="paragraph" w:styleId="Heading1">
    <w:name w:val="heading 1"/>
    <w:basedOn w:val="Normal"/>
    <w:next w:val="Normal"/>
    <w:qFormat/>
    <w:rsid w:val="00480F6E"/>
    <w:pPr>
      <w:keepNext/>
      <w:outlineLvl w:val="0"/>
    </w:pPr>
    <w:rPr>
      <w:b/>
    </w:rPr>
  </w:style>
  <w:style w:type="paragraph" w:styleId="Heading2">
    <w:name w:val="heading 2"/>
    <w:basedOn w:val="Normal"/>
    <w:next w:val="Normal"/>
    <w:qFormat/>
    <w:rsid w:val="00D8211A"/>
    <w:pPr>
      <w:keepNext/>
      <w:spacing w:before="240" w:after="60"/>
      <w:outlineLvl w:val="1"/>
    </w:pPr>
    <w:rPr>
      <w:rFonts w:ascii="Arial" w:hAnsi="Arial"/>
      <w:b/>
      <w:i/>
      <w:sz w:val="28"/>
      <w:szCs w:val="28"/>
    </w:rPr>
  </w:style>
  <w:style w:type="paragraph" w:styleId="Heading3">
    <w:name w:val="heading 3"/>
    <w:basedOn w:val="Normal"/>
    <w:next w:val="Normal"/>
    <w:qFormat/>
    <w:rsid w:val="00D8211A"/>
    <w:pPr>
      <w:keepNext/>
      <w:spacing w:before="240" w:after="60"/>
      <w:outlineLvl w:val="2"/>
    </w:pPr>
    <w:rPr>
      <w:rFonts w:ascii="Arial" w:hAnsi="Arial"/>
      <w:b/>
      <w:sz w:val="26"/>
      <w:szCs w:val="26"/>
    </w:rPr>
  </w:style>
  <w:style w:type="paragraph" w:styleId="Heading4">
    <w:name w:val="heading 4"/>
    <w:basedOn w:val="Normal"/>
    <w:next w:val="Normal"/>
    <w:link w:val="Heading4Char"/>
    <w:qFormat/>
    <w:rsid w:val="00A55552"/>
    <w:pPr>
      <w:keepNext/>
      <w:spacing w:before="240" w:after="60"/>
      <w:outlineLvl w:val="3"/>
    </w:pPr>
    <w:rPr>
      <w:rFonts w:ascii="Cambria" w:hAnsi="Cambria"/>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658EF"/>
    <w:pPr>
      <w:tabs>
        <w:tab w:val="center" w:pos="4320"/>
        <w:tab w:val="right" w:pos="8640"/>
      </w:tabs>
    </w:pPr>
  </w:style>
  <w:style w:type="paragraph" w:styleId="BalloonText">
    <w:name w:val="Balloon Text"/>
    <w:basedOn w:val="Normal"/>
    <w:link w:val="BalloonTextChar"/>
    <w:rsid w:val="003658EF"/>
    <w:rPr>
      <w:rFonts w:ascii="Lucida Grande" w:hAnsi="Lucida Grande" w:cs="Lucida Grande"/>
      <w:sz w:val="18"/>
      <w:szCs w:val="18"/>
    </w:rPr>
  </w:style>
  <w:style w:type="character" w:customStyle="1" w:styleId="BalloonTextChar">
    <w:name w:val="Balloon Text Char"/>
    <w:link w:val="BalloonText"/>
    <w:rsid w:val="003658EF"/>
    <w:rPr>
      <w:rFonts w:ascii="Lucida Grande" w:hAnsi="Lucida Grande" w:cs="Lucida Grande"/>
      <w:sz w:val="18"/>
      <w:szCs w:val="18"/>
      <w:lang w:val="en-GB"/>
    </w:rPr>
  </w:style>
  <w:style w:type="character" w:customStyle="1" w:styleId="HeaderChar">
    <w:name w:val="Header Char"/>
    <w:link w:val="Header"/>
    <w:rsid w:val="003658EF"/>
    <w:rPr>
      <w:sz w:val="24"/>
      <w:lang w:val="en-GB"/>
    </w:rPr>
  </w:style>
  <w:style w:type="paragraph" w:styleId="Footer">
    <w:name w:val="footer"/>
    <w:basedOn w:val="Normal"/>
    <w:link w:val="FooterChar"/>
    <w:rsid w:val="003658EF"/>
    <w:pPr>
      <w:tabs>
        <w:tab w:val="center" w:pos="4320"/>
        <w:tab w:val="right" w:pos="8640"/>
      </w:tabs>
    </w:pPr>
  </w:style>
  <w:style w:type="character" w:customStyle="1" w:styleId="FooterChar">
    <w:name w:val="Footer Char"/>
    <w:link w:val="Footer"/>
    <w:rsid w:val="003658EF"/>
    <w:rPr>
      <w:sz w:val="24"/>
      <w:lang w:val="en-GB"/>
    </w:rPr>
  </w:style>
  <w:style w:type="paragraph" w:styleId="TOC1">
    <w:name w:val="toc 1"/>
    <w:basedOn w:val="Normal"/>
    <w:next w:val="Normal"/>
    <w:autoRedefine/>
    <w:uiPriority w:val="39"/>
    <w:rsid w:val="00064A4B"/>
    <w:pPr>
      <w:spacing w:before="120"/>
    </w:pPr>
    <w:rPr>
      <w:rFonts w:ascii="Calibri" w:hAnsi="Calibri"/>
      <w:b/>
      <w:caps/>
      <w:sz w:val="28"/>
      <w:szCs w:val="24"/>
    </w:rPr>
  </w:style>
  <w:style w:type="paragraph" w:styleId="TOC2">
    <w:name w:val="toc 2"/>
    <w:basedOn w:val="Normal"/>
    <w:next w:val="Normal"/>
    <w:autoRedefine/>
    <w:uiPriority w:val="39"/>
    <w:rsid w:val="00064A4B"/>
    <w:pPr>
      <w:spacing w:before="120" w:after="120"/>
    </w:pPr>
    <w:rPr>
      <w:rFonts w:ascii="Calibri" w:hAnsi="Calibri"/>
      <w:sz w:val="28"/>
    </w:rPr>
  </w:style>
  <w:style w:type="paragraph" w:styleId="TOC3">
    <w:name w:val="toc 3"/>
    <w:basedOn w:val="Normal"/>
    <w:next w:val="Normal"/>
    <w:autoRedefine/>
    <w:uiPriority w:val="39"/>
    <w:semiHidden/>
    <w:rsid w:val="00064A4B"/>
    <w:pPr>
      <w:ind w:left="238"/>
    </w:pPr>
    <w:rPr>
      <w:rFonts w:ascii="Calibri" w:hAnsi="Calibri"/>
      <w:i/>
      <w:sz w:val="28"/>
    </w:rPr>
  </w:style>
  <w:style w:type="paragraph" w:styleId="TOC4">
    <w:name w:val="toc 4"/>
    <w:basedOn w:val="Normal"/>
    <w:next w:val="Normal"/>
    <w:autoRedefine/>
    <w:semiHidden/>
    <w:rsid w:val="000F3BA2"/>
    <w:pPr>
      <w:ind w:left="480"/>
    </w:pPr>
    <w:rPr>
      <w:sz w:val="20"/>
    </w:rPr>
  </w:style>
  <w:style w:type="paragraph" w:styleId="TOC5">
    <w:name w:val="toc 5"/>
    <w:basedOn w:val="Normal"/>
    <w:next w:val="Normal"/>
    <w:autoRedefine/>
    <w:semiHidden/>
    <w:rsid w:val="000F3BA2"/>
    <w:pPr>
      <w:ind w:left="720"/>
    </w:pPr>
    <w:rPr>
      <w:sz w:val="20"/>
    </w:rPr>
  </w:style>
  <w:style w:type="paragraph" w:styleId="TOC6">
    <w:name w:val="toc 6"/>
    <w:basedOn w:val="Normal"/>
    <w:next w:val="Normal"/>
    <w:autoRedefine/>
    <w:semiHidden/>
    <w:rsid w:val="000F3BA2"/>
    <w:pPr>
      <w:ind w:left="960"/>
    </w:pPr>
    <w:rPr>
      <w:sz w:val="20"/>
    </w:rPr>
  </w:style>
  <w:style w:type="paragraph" w:styleId="TOC7">
    <w:name w:val="toc 7"/>
    <w:basedOn w:val="Normal"/>
    <w:next w:val="Normal"/>
    <w:autoRedefine/>
    <w:semiHidden/>
    <w:rsid w:val="000F3BA2"/>
    <w:pPr>
      <w:ind w:left="1200"/>
    </w:pPr>
    <w:rPr>
      <w:sz w:val="20"/>
    </w:rPr>
  </w:style>
  <w:style w:type="paragraph" w:styleId="TOC8">
    <w:name w:val="toc 8"/>
    <w:basedOn w:val="Normal"/>
    <w:next w:val="Normal"/>
    <w:autoRedefine/>
    <w:semiHidden/>
    <w:rsid w:val="000F3BA2"/>
    <w:pPr>
      <w:ind w:left="1440"/>
    </w:pPr>
    <w:rPr>
      <w:sz w:val="20"/>
    </w:rPr>
  </w:style>
  <w:style w:type="paragraph" w:styleId="TOC9">
    <w:name w:val="toc 9"/>
    <w:basedOn w:val="Normal"/>
    <w:next w:val="Normal"/>
    <w:autoRedefine/>
    <w:semiHidden/>
    <w:rsid w:val="000F3BA2"/>
    <w:pPr>
      <w:ind w:left="1680"/>
    </w:pPr>
    <w:rPr>
      <w:sz w:val="20"/>
    </w:rPr>
  </w:style>
  <w:style w:type="character" w:customStyle="1" w:styleId="Heading4Char">
    <w:name w:val="Heading 4 Char"/>
    <w:link w:val="Heading4"/>
    <w:rsid w:val="00A55552"/>
    <w:rPr>
      <w:rFonts w:ascii="Cambria" w:eastAsia="Times New Roman" w:hAnsi="Cambria" w:cs="Times New Roman"/>
      <w:b/>
      <w:bCs/>
      <w:sz w:val="28"/>
      <w:szCs w:val="28"/>
    </w:rPr>
  </w:style>
  <w:style w:type="paragraph" w:customStyle="1" w:styleId="Agency-heading-1">
    <w:name w:val="Agency-heading-1"/>
    <w:basedOn w:val="Normal"/>
    <w:next w:val="Agency-body-text"/>
    <w:qFormat/>
    <w:rsid w:val="00137A44"/>
    <w:pPr>
      <w:keepNext/>
      <w:pBdr>
        <w:bottom w:val="single" w:sz="4" w:space="1" w:color="auto"/>
      </w:pBdr>
      <w:spacing w:before="400" w:after="400"/>
      <w:outlineLvl w:val="0"/>
    </w:pPr>
    <w:rPr>
      <w:rFonts w:ascii="Calibri" w:hAnsi="Calibri"/>
      <w:b/>
      <w:bCs/>
      <w:caps/>
      <w:color w:val="000000" w:themeColor="text1"/>
      <w:sz w:val="40"/>
      <w:szCs w:val="40"/>
    </w:rPr>
  </w:style>
  <w:style w:type="paragraph" w:customStyle="1" w:styleId="Agency-heading-2">
    <w:name w:val="Agency-heading-2"/>
    <w:basedOn w:val="Normal"/>
    <w:next w:val="Agency-body-text"/>
    <w:qFormat/>
    <w:rsid w:val="0043296C"/>
    <w:pPr>
      <w:keepNext/>
      <w:pBdr>
        <w:bottom w:val="single" w:sz="8" w:space="1" w:color="auto"/>
      </w:pBdr>
      <w:spacing w:before="320" w:after="240"/>
      <w:outlineLvl w:val="1"/>
    </w:pPr>
    <w:rPr>
      <w:rFonts w:ascii="Calibri" w:hAnsi="Calibri"/>
      <w:b/>
      <w:color w:val="000000"/>
      <w:sz w:val="32"/>
      <w:szCs w:val="28"/>
    </w:rPr>
  </w:style>
  <w:style w:type="paragraph" w:customStyle="1" w:styleId="Agency-heading-3">
    <w:name w:val="Agency-heading-3"/>
    <w:basedOn w:val="Normal"/>
    <w:next w:val="Agency-body-text"/>
    <w:qFormat/>
    <w:rsid w:val="00137A44"/>
    <w:pPr>
      <w:keepNext/>
      <w:spacing w:before="240" w:after="120"/>
      <w:outlineLvl w:val="2"/>
    </w:pPr>
    <w:rPr>
      <w:rFonts w:ascii="Calibri" w:hAnsi="Calibri"/>
      <w:b/>
      <w:color w:val="000000" w:themeColor="text1"/>
      <w:szCs w:val="26"/>
    </w:rPr>
  </w:style>
  <w:style w:type="paragraph" w:customStyle="1" w:styleId="Agency-heading-4">
    <w:name w:val="Agency-heading-4"/>
    <w:basedOn w:val="Normal"/>
    <w:next w:val="Agency-body-text"/>
    <w:qFormat/>
    <w:rsid w:val="00362143"/>
    <w:pPr>
      <w:keepNext/>
      <w:spacing w:before="240" w:after="120"/>
      <w:outlineLvl w:val="3"/>
    </w:pPr>
    <w:rPr>
      <w:rFonts w:ascii="Calibri" w:hAnsi="Calibri"/>
      <w:bCs/>
      <w:i/>
      <w:szCs w:val="28"/>
    </w:rPr>
  </w:style>
  <w:style w:type="paragraph" w:customStyle="1" w:styleId="Agency-caption">
    <w:name w:val="Agency-caption"/>
    <w:basedOn w:val="Normal"/>
    <w:next w:val="Agency-body-text"/>
    <w:qFormat/>
    <w:rsid w:val="003D4B50"/>
    <w:pPr>
      <w:spacing w:before="240" w:after="240"/>
    </w:pPr>
    <w:rPr>
      <w:rFonts w:ascii="Calibri" w:hAnsi="Calibri"/>
      <w:b/>
      <w:bCs/>
      <w:sz w:val="22"/>
      <w:szCs w:val="18"/>
    </w:rPr>
  </w:style>
  <w:style w:type="paragraph" w:customStyle="1" w:styleId="Agency-footer">
    <w:name w:val="Agency-footer"/>
    <w:basedOn w:val="Normal"/>
    <w:qFormat/>
    <w:rsid w:val="00137A44"/>
    <w:rPr>
      <w:rFonts w:ascii="Calibri" w:hAnsi="Calibri"/>
      <w:color w:val="000000" w:themeColor="text1"/>
      <w:sz w:val="22"/>
    </w:rPr>
  </w:style>
  <w:style w:type="paragraph" w:customStyle="1" w:styleId="Agency-footnote">
    <w:name w:val="Agency-footnote"/>
    <w:basedOn w:val="Normal"/>
    <w:qFormat/>
    <w:rsid w:val="005C1C45"/>
    <w:pPr>
      <w:spacing w:before="120" w:after="120"/>
    </w:pPr>
    <w:rPr>
      <w:rFonts w:ascii="Calibri" w:hAnsi="Calibri"/>
      <w:color w:val="000000"/>
      <w:sz w:val="20"/>
      <w:szCs w:val="24"/>
    </w:rPr>
  </w:style>
  <w:style w:type="paragraph" w:customStyle="1" w:styleId="Agency-body-text">
    <w:name w:val="Agency-body-text"/>
    <w:basedOn w:val="Normal"/>
    <w:link w:val="Agency-body-textChar"/>
    <w:qFormat/>
    <w:rsid w:val="00B034E7"/>
    <w:pPr>
      <w:spacing w:before="120" w:after="120"/>
    </w:pPr>
    <w:rPr>
      <w:rFonts w:ascii="Calibri" w:hAnsi="Calibri"/>
      <w:color w:val="000000" w:themeColor="text1"/>
    </w:rPr>
  </w:style>
  <w:style w:type="paragraph" w:styleId="FootnoteText">
    <w:name w:val="footnote text"/>
    <w:basedOn w:val="Normal"/>
    <w:link w:val="FootnoteTextChar"/>
    <w:rsid w:val="00A8402E"/>
    <w:rPr>
      <w:szCs w:val="24"/>
    </w:rPr>
  </w:style>
  <w:style w:type="character" w:customStyle="1" w:styleId="FootnoteTextChar">
    <w:name w:val="Footnote Text Char"/>
    <w:link w:val="FootnoteText"/>
    <w:rsid w:val="00A8402E"/>
    <w:rPr>
      <w:sz w:val="24"/>
      <w:szCs w:val="24"/>
      <w:lang w:val="en-GB"/>
    </w:rPr>
  </w:style>
  <w:style w:type="character" w:styleId="FootnoteReference">
    <w:name w:val="footnote reference"/>
    <w:rsid w:val="00A8402E"/>
    <w:rPr>
      <w:vertAlign w:val="superscript"/>
    </w:rPr>
  </w:style>
  <w:style w:type="character" w:customStyle="1" w:styleId="Agency-body-textChar">
    <w:name w:val="Agency-body-text Char"/>
    <w:basedOn w:val="DefaultParagraphFont"/>
    <w:link w:val="Agency-body-text"/>
    <w:rsid w:val="00887819"/>
    <w:rPr>
      <w:rFonts w:ascii="Calibri" w:hAnsi="Calibri"/>
      <w:color w:val="000000" w:themeColor="text1"/>
      <w:sz w:val="24"/>
    </w:rPr>
  </w:style>
  <w:style w:type="character" w:customStyle="1" w:styleId="normaltextrun">
    <w:name w:val="normaltextrun"/>
    <w:basedOn w:val="DefaultParagraphFont"/>
    <w:rsid w:val="00887819"/>
  </w:style>
  <w:style w:type="character" w:customStyle="1" w:styleId="eop">
    <w:name w:val="eop"/>
    <w:basedOn w:val="DefaultParagraphFont"/>
    <w:rsid w:val="00887819"/>
  </w:style>
  <w:style w:type="character" w:customStyle="1" w:styleId="apple-converted-space">
    <w:name w:val="apple-converted-space"/>
    <w:basedOn w:val="DefaultParagraphFont"/>
    <w:rsid w:val="00887819"/>
  </w:style>
  <w:style w:type="paragraph" w:customStyle="1" w:styleId="paragraph">
    <w:name w:val="paragraph"/>
    <w:basedOn w:val="Normal"/>
    <w:rsid w:val="00887819"/>
    <w:pPr>
      <w:spacing w:before="100" w:beforeAutospacing="1" w:after="100" w:afterAutospacing="1"/>
    </w:pPr>
    <w:rPr>
      <w:szCs w:val="24"/>
      <w:lang w:val="en-US" w:eastAsia="en-GB"/>
    </w:rPr>
  </w:style>
  <w:style w:type="character" w:styleId="Hyperlink">
    <w:name w:val="Hyperlink"/>
    <w:basedOn w:val="DefaultParagraphFont"/>
    <w:uiPriority w:val="99"/>
    <w:unhideWhenUsed/>
    <w:rsid w:val="00887819"/>
    <w:rPr>
      <w:color w:val="0000FF" w:themeColor="hyperlink"/>
      <w:u w:val="single"/>
    </w:rPr>
  </w:style>
  <w:style w:type="character" w:styleId="UnresolvedMention">
    <w:name w:val="Unresolved Mention"/>
    <w:basedOn w:val="DefaultParagraphFont"/>
    <w:uiPriority w:val="99"/>
    <w:semiHidden/>
    <w:unhideWhenUsed/>
    <w:rsid w:val="00887819"/>
    <w:rPr>
      <w:color w:val="605E5C"/>
      <w:shd w:val="clear" w:color="auto" w:fill="E1DFDD"/>
    </w:rPr>
  </w:style>
  <w:style w:type="paragraph" w:styleId="NormalWeb">
    <w:name w:val="Normal (Web)"/>
    <w:basedOn w:val="Normal"/>
    <w:semiHidden/>
    <w:unhideWhenUsed/>
    <w:rsid w:val="009626A7"/>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808431">
      <w:bodyDiv w:val="1"/>
      <w:marLeft w:val="0"/>
      <w:marRight w:val="0"/>
      <w:marTop w:val="0"/>
      <w:marBottom w:val="0"/>
      <w:divBdr>
        <w:top w:val="none" w:sz="0" w:space="0" w:color="auto"/>
        <w:left w:val="none" w:sz="0" w:space="0" w:color="auto"/>
        <w:bottom w:val="none" w:sz="0" w:space="0" w:color="auto"/>
        <w:right w:val="none" w:sz="0" w:space="0" w:color="auto"/>
      </w:divBdr>
    </w:div>
    <w:div w:id="72554831">
      <w:bodyDiv w:val="1"/>
      <w:marLeft w:val="0"/>
      <w:marRight w:val="0"/>
      <w:marTop w:val="0"/>
      <w:marBottom w:val="0"/>
      <w:divBdr>
        <w:top w:val="none" w:sz="0" w:space="0" w:color="auto"/>
        <w:left w:val="none" w:sz="0" w:space="0" w:color="auto"/>
        <w:bottom w:val="none" w:sz="0" w:space="0" w:color="auto"/>
        <w:right w:val="none" w:sz="0" w:space="0" w:color="auto"/>
      </w:divBdr>
    </w:div>
    <w:div w:id="78138357">
      <w:bodyDiv w:val="1"/>
      <w:marLeft w:val="0"/>
      <w:marRight w:val="0"/>
      <w:marTop w:val="0"/>
      <w:marBottom w:val="0"/>
      <w:divBdr>
        <w:top w:val="none" w:sz="0" w:space="0" w:color="auto"/>
        <w:left w:val="none" w:sz="0" w:space="0" w:color="auto"/>
        <w:bottom w:val="none" w:sz="0" w:space="0" w:color="auto"/>
        <w:right w:val="none" w:sz="0" w:space="0" w:color="auto"/>
      </w:divBdr>
    </w:div>
    <w:div w:id="240722573">
      <w:bodyDiv w:val="1"/>
      <w:marLeft w:val="0"/>
      <w:marRight w:val="0"/>
      <w:marTop w:val="0"/>
      <w:marBottom w:val="0"/>
      <w:divBdr>
        <w:top w:val="none" w:sz="0" w:space="0" w:color="auto"/>
        <w:left w:val="none" w:sz="0" w:space="0" w:color="auto"/>
        <w:bottom w:val="none" w:sz="0" w:space="0" w:color="auto"/>
        <w:right w:val="none" w:sz="0" w:space="0" w:color="auto"/>
      </w:divBdr>
    </w:div>
    <w:div w:id="544753154">
      <w:bodyDiv w:val="1"/>
      <w:marLeft w:val="0"/>
      <w:marRight w:val="0"/>
      <w:marTop w:val="0"/>
      <w:marBottom w:val="0"/>
      <w:divBdr>
        <w:top w:val="none" w:sz="0" w:space="0" w:color="auto"/>
        <w:left w:val="none" w:sz="0" w:space="0" w:color="auto"/>
        <w:bottom w:val="none" w:sz="0" w:space="0" w:color="auto"/>
        <w:right w:val="none" w:sz="0" w:space="0" w:color="auto"/>
      </w:divBdr>
    </w:div>
    <w:div w:id="554438779">
      <w:bodyDiv w:val="1"/>
      <w:marLeft w:val="0"/>
      <w:marRight w:val="0"/>
      <w:marTop w:val="0"/>
      <w:marBottom w:val="0"/>
      <w:divBdr>
        <w:top w:val="none" w:sz="0" w:space="0" w:color="auto"/>
        <w:left w:val="none" w:sz="0" w:space="0" w:color="auto"/>
        <w:bottom w:val="none" w:sz="0" w:space="0" w:color="auto"/>
        <w:right w:val="none" w:sz="0" w:space="0" w:color="auto"/>
      </w:divBdr>
    </w:div>
    <w:div w:id="595865613">
      <w:bodyDiv w:val="1"/>
      <w:marLeft w:val="0"/>
      <w:marRight w:val="0"/>
      <w:marTop w:val="0"/>
      <w:marBottom w:val="0"/>
      <w:divBdr>
        <w:top w:val="none" w:sz="0" w:space="0" w:color="auto"/>
        <w:left w:val="none" w:sz="0" w:space="0" w:color="auto"/>
        <w:bottom w:val="none" w:sz="0" w:space="0" w:color="auto"/>
        <w:right w:val="none" w:sz="0" w:space="0" w:color="auto"/>
      </w:divBdr>
    </w:div>
    <w:div w:id="635991993">
      <w:bodyDiv w:val="1"/>
      <w:marLeft w:val="0"/>
      <w:marRight w:val="0"/>
      <w:marTop w:val="0"/>
      <w:marBottom w:val="0"/>
      <w:divBdr>
        <w:top w:val="none" w:sz="0" w:space="0" w:color="auto"/>
        <w:left w:val="none" w:sz="0" w:space="0" w:color="auto"/>
        <w:bottom w:val="none" w:sz="0" w:space="0" w:color="auto"/>
        <w:right w:val="none" w:sz="0" w:space="0" w:color="auto"/>
      </w:divBdr>
    </w:div>
    <w:div w:id="702022603">
      <w:bodyDiv w:val="1"/>
      <w:marLeft w:val="0"/>
      <w:marRight w:val="0"/>
      <w:marTop w:val="0"/>
      <w:marBottom w:val="0"/>
      <w:divBdr>
        <w:top w:val="none" w:sz="0" w:space="0" w:color="auto"/>
        <w:left w:val="none" w:sz="0" w:space="0" w:color="auto"/>
        <w:bottom w:val="none" w:sz="0" w:space="0" w:color="auto"/>
        <w:right w:val="none" w:sz="0" w:space="0" w:color="auto"/>
      </w:divBdr>
    </w:div>
    <w:div w:id="773014863">
      <w:bodyDiv w:val="1"/>
      <w:marLeft w:val="0"/>
      <w:marRight w:val="0"/>
      <w:marTop w:val="0"/>
      <w:marBottom w:val="0"/>
      <w:divBdr>
        <w:top w:val="none" w:sz="0" w:space="0" w:color="auto"/>
        <w:left w:val="none" w:sz="0" w:space="0" w:color="auto"/>
        <w:bottom w:val="none" w:sz="0" w:space="0" w:color="auto"/>
        <w:right w:val="none" w:sz="0" w:space="0" w:color="auto"/>
      </w:divBdr>
      <w:divsChild>
        <w:div w:id="1897160445">
          <w:marLeft w:val="0"/>
          <w:marRight w:val="0"/>
          <w:marTop w:val="0"/>
          <w:marBottom w:val="0"/>
          <w:divBdr>
            <w:top w:val="none" w:sz="0" w:space="0" w:color="auto"/>
            <w:left w:val="none" w:sz="0" w:space="0" w:color="auto"/>
            <w:bottom w:val="none" w:sz="0" w:space="0" w:color="auto"/>
            <w:right w:val="none" w:sz="0" w:space="0" w:color="auto"/>
          </w:divBdr>
          <w:divsChild>
            <w:div w:id="49111933">
              <w:marLeft w:val="0"/>
              <w:marRight w:val="0"/>
              <w:marTop w:val="0"/>
              <w:marBottom w:val="0"/>
              <w:divBdr>
                <w:top w:val="none" w:sz="0" w:space="0" w:color="auto"/>
                <w:left w:val="none" w:sz="0" w:space="0" w:color="auto"/>
                <w:bottom w:val="none" w:sz="0" w:space="0" w:color="auto"/>
                <w:right w:val="none" w:sz="0" w:space="0" w:color="auto"/>
              </w:divBdr>
              <w:divsChild>
                <w:div w:id="712735202">
                  <w:marLeft w:val="0"/>
                  <w:marRight w:val="0"/>
                  <w:marTop w:val="0"/>
                  <w:marBottom w:val="0"/>
                  <w:divBdr>
                    <w:top w:val="none" w:sz="0" w:space="0" w:color="auto"/>
                    <w:left w:val="none" w:sz="0" w:space="0" w:color="auto"/>
                    <w:bottom w:val="none" w:sz="0" w:space="0" w:color="auto"/>
                    <w:right w:val="none" w:sz="0" w:space="0" w:color="auto"/>
                  </w:divBdr>
                  <w:divsChild>
                    <w:div w:id="1671984704">
                      <w:marLeft w:val="0"/>
                      <w:marRight w:val="0"/>
                      <w:marTop w:val="0"/>
                      <w:marBottom w:val="0"/>
                      <w:divBdr>
                        <w:top w:val="none" w:sz="0" w:space="0" w:color="auto"/>
                        <w:left w:val="none" w:sz="0" w:space="0" w:color="auto"/>
                        <w:bottom w:val="none" w:sz="0" w:space="0" w:color="auto"/>
                        <w:right w:val="none" w:sz="0" w:space="0" w:color="auto"/>
                      </w:divBdr>
                      <w:divsChild>
                        <w:div w:id="371268579">
                          <w:marLeft w:val="0"/>
                          <w:marRight w:val="0"/>
                          <w:marTop w:val="0"/>
                          <w:marBottom w:val="0"/>
                          <w:divBdr>
                            <w:top w:val="none" w:sz="0" w:space="0" w:color="auto"/>
                            <w:left w:val="none" w:sz="0" w:space="0" w:color="auto"/>
                            <w:bottom w:val="none" w:sz="0" w:space="0" w:color="auto"/>
                            <w:right w:val="none" w:sz="0" w:space="0" w:color="auto"/>
                          </w:divBdr>
                          <w:divsChild>
                            <w:div w:id="420226268">
                              <w:marLeft w:val="0"/>
                              <w:marRight w:val="0"/>
                              <w:marTop w:val="0"/>
                              <w:marBottom w:val="0"/>
                              <w:divBdr>
                                <w:top w:val="none" w:sz="0" w:space="0" w:color="auto"/>
                                <w:left w:val="none" w:sz="0" w:space="0" w:color="auto"/>
                                <w:bottom w:val="none" w:sz="0" w:space="0" w:color="auto"/>
                                <w:right w:val="none" w:sz="0" w:space="0" w:color="auto"/>
                              </w:divBdr>
                              <w:divsChild>
                                <w:div w:id="814837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991758">
                          <w:marLeft w:val="0"/>
                          <w:marRight w:val="0"/>
                          <w:marTop w:val="0"/>
                          <w:marBottom w:val="0"/>
                          <w:divBdr>
                            <w:top w:val="none" w:sz="0" w:space="0" w:color="auto"/>
                            <w:left w:val="none" w:sz="0" w:space="0" w:color="auto"/>
                            <w:bottom w:val="none" w:sz="0" w:space="0" w:color="auto"/>
                            <w:right w:val="none" w:sz="0" w:space="0" w:color="auto"/>
                          </w:divBdr>
                        </w:div>
                        <w:div w:id="1677609318">
                          <w:marLeft w:val="0"/>
                          <w:marRight w:val="0"/>
                          <w:marTop w:val="0"/>
                          <w:marBottom w:val="0"/>
                          <w:divBdr>
                            <w:top w:val="none" w:sz="0" w:space="0" w:color="auto"/>
                            <w:left w:val="none" w:sz="0" w:space="0" w:color="auto"/>
                            <w:bottom w:val="none" w:sz="0" w:space="0" w:color="auto"/>
                            <w:right w:val="none" w:sz="0" w:space="0" w:color="auto"/>
                          </w:divBdr>
                          <w:divsChild>
                            <w:div w:id="58602132">
                              <w:marLeft w:val="0"/>
                              <w:marRight w:val="0"/>
                              <w:marTop w:val="0"/>
                              <w:marBottom w:val="0"/>
                              <w:divBdr>
                                <w:top w:val="none" w:sz="0" w:space="0" w:color="auto"/>
                                <w:left w:val="none" w:sz="0" w:space="0" w:color="auto"/>
                                <w:bottom w:val="none" w:sz="0" w:space="0" w:color="auto"/>
                                <w:right w:val="none" w:sz="0" w:space="0" w:color="auto"/>
                              </w:divBdr>
                              <w:divsChild>
                                <w:div w:id="380328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0123686">
              <w:marLeft w:val="0"/>
              <w:marRight w:val="0"/>
              <w:marTop w:val="0"/>
              <w:marBottom w:val="0"/>
              <w:divBdr>
                <w:top w:val="none" w:sz="0" w:space="0" w:color="auto"/>
                <w:left w:val="none" w:sz="0" w:space="0" w:color="auto"/>
                <w:bottom w:val="none" w:sz="0" w:space="0" w:color="auto"/>
                <w:right w:val="none" w:sz="0" w:space="0" w:color="auto"/>
              </w:divBdr>
              <w:divsChild>
                <w:div w:id="1509294189">
                  <w:marLeft w:val="0"/>
                  <w:marRight w:val="0"/>
                  <w:marTop w:val="0"/>
                  <w:marBottom w:val="0"/>
                  <w:divBdr>
                    <w:top w:val="none" w:sz="0" w:space="0" w:color="auto"/>
                    <w:left w:val="none" w:sz="0" w:space="0" w:color="auto"/>
                    <w:bottom w:val="none" w:sz="0" w:space="0" w:color="auto"/>
                    <w:right w:val="none" w:sz="0" w:space="0" w:color="auto"/>
                  </w:divBdr>
                  <w:divsChild>
                    <w:div w:id="402728288">
                      <w:marLeft w:val="0"/>
                      <w:marRight w:val="0"/>
                      <w:marTop w:val="0"/>
                      <w:marBottom w:val="0"/>
                      <w:divBdr>
                        <w:top w:val="none" w:sz="0" w:space="0" w:color="auto"/>
                        <w:left w:val="none" w:sz="0" w:space="0" w:color="auto"/>
                        <w:bottom w:val="none" w:sz="0" w:space="0" w:color="auto"/>
                        <w:right w:val="none" w:sz="0" w:space="0" w:color="auto"/>
                      </w:divBdr>
                      <w:divsChild>
                        <w:div w:id="1576355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4392989">
      <w:bodyDiv w:val="1"/>
      <w:marLeft w:val="0"/>
      <w:marRight w:val="0"/>
      <w:marTop w:val="0"/>
      <w:marBottom w:val="0"/>
      <w:divBdr>
        <w:top w:val="none" w:sz="0" w:space="0" w:color="auto"/>
        <w:left w:val="none" w:sz="0" w:space="0" w:color="auto"/>
        <w:bottom w:val="none" w:sz="0" w:space="0" w:color="auto"/>
        <w:right w:val="none" w:sz="0" w:space="0" w:color="auto"/>
      </w:divBdr>
    </w:div>
    <w:div w:id="830221678">
      <w:bodyDiv w:val="1"/>
      <w:marLeft w:val="0"/>
      <w:marRight w:val="0"/>
      <w:marTop w:val="0"/>
      <w:marBottom w:val="0"/>
      <w:divBdr>
        <w:top w:val="none" w:sz="0" w:space="0" w:color="auto"/>
        <w:left w:val="none" w:sz="0" w:space="0" w:color="auto"/>
        <w:bottom w:val="none" w:sz="0" w:space="0" w:color="auto"/>
        <w:right w:val="none" w:sz="0" w:space="0" w:color="auto"/>
      </w:divBdr>
    </w:div>
    <w:div w:id="941113153">
      <w:bodyDiv w:val="1"/>
      <w:marLeft w:val="0"/>
      <w:marRight w:val="0"/>
      <w:marTop w:val="0"/>
      <w:marBottom w:val="0"/>
      <w:divBdr>
        <w:top w:val="none" w:sz="0" w:space="0" w:color="auto"/>
        <w:left w:val="none" w:sz="0" w:space="0" w:color="auto"/>
        <w:bottom w:val="none" w:sz="0" w:space="0" w:color="auto"/>
        <w:right w:val="none" w:sz="0" w:space="0" w:color="auto"/>
      </w:divBdr>
    </w:div>
    <w:div w:id="1244535628">
      <w:bodyDiv w:val="1"/>
      <w:marLeft w:val="0"/>
      <w:marRight w:val="0"/>
      <w:marTop w:val="0"/>
      <w:marBottom w:val="0"/>
      <w:divBdr>
        <w:top w:val="none" w:sz="0" w:space="0" w:color="auto"/>
        <w:left w:val="none" w:sz="0" w:space="0" w:color="auto"/>
        <w:bottom w:val="none" w:sz="0" w:space="0" w:color="auto"/>
        <w:right w:val="none" w:sz="0" w:space="0" w:color="auto"/>
      </w:divBdr>
    </w:div>
    <w:div w:id="1323971223">
      <w:bodyDiv w:val="1"/>
      <w:marLeft w:val="0"/>
      <w:marRight w:val="0"/>
      <w:marTop w:val="0"/>
      <w:marBottom w:val="0"/>
      <w:divBdr>
        <w:top w:val="none" w:sz="0" w:space="0" w:color="auto"/>
        <w:left w:val="none" w:sz="0" w:space="0" w:color="auto"/>
        <w:bottom w:val="none" w:sz="0" w:space="0" w:color="auto"/>
        <w:right w:val="none" w:sz="0" w:space="0" w:color="auto"/>
      </w:divBdr>
    </w:div>
    <w:div w:id="1333876381">
      <w:bodyDiv w:val="1"/>
      <w:marLeft w:val="0"/>
      <w:marRight w:val="0"/>
      <w:marTop w:val="0"/>
      <w:marBottom w:val="0"/>
      <w:divBdr>
        <w:top w:val="none" w:sz="0" w:space="0" w:color="auto"/>
        <w:left w:val="none" w:sz="0" w:space="0" w:color="auto"/>
        <w:bottom w:val="none" w:sz="0" w:space="0" w:color="auto"/>
        <w:right w:val="none" w:sz="0" w:space="0" w:color="auto"/>
      </w:divBdr>
    </w:div>
    <w:div w:id="1369526878">
      <w:bodyDiv w:val="1"/>
      <w:marLeft w:val="0"/>
      <w:marRight w:val="0"/>
      <w:marTop w:val="0"/>
      <w:marBottom w:val="0"/>
      <w:divBdr>
        <w:top w:val="none" w:sz="0" w:space="0" w:color="auto"/>
        <w:left w:val="none" w:sz="0" w:space="0" w:color="auto"/>
        <w:bottom w:val="none" w:sz="0" w:space="0" w:color="auto"/>
        <w:right w:val="none" w:sz="0" w:space="0" w:color="auto"/>
      </w:divBdr>
    </w:div>
    <w:div w:id="1414085305">
      <w:bodyDiv w:val="1"/>
      <w:marLeft w:val="0"/>
      <w:marRight w:val="0"/>
      <w:marTop w:val="0"/>
      <w:marBottom w:val="0"/>
      <w:divBdr>
        <w:top w:val="none" w:sz="0" w:space="0" w:color="auto"/>
        <w:left w:val="none" w:sz="0" w:space="0" w:color="auto"/>
        <w:bottom w:val="none" w:sz="0" w:space="0" w:color="auto"/>
        <w:right w:val="none" w:sz="0" w:space="0" w:color="auto"/>
      </w:divBdr>
      <w:divsChild>
        <w:div w:id="749547505">
          <w:marLeft w:val="0"/>
          <w:marRight w:val="0"/>
          <w:marTop w:val="0"/>
          <w:marBottom w:val="0"/>
          <w:divBdr>
            <w:top w:val="none" w:sz="0" w:space="0" w:color="auto"/>
            <w:left w:val="none" w:sz="0" w:space="0" w:color="auto"/>
            <w:bottom w:val="none" w:sz="0" w:space="0" w:color="auto"/>
            <w:right w:val="none" w:sz="0" w:space="0" w:color="auto"/>
          </w:divBdr>
          <w:divsChild>
            <w:div w:id="728958604">
              <w:marLeft w:val="0"/>
              <w:marRight w:val="0"/>
              <w:marTop w:val="0"/>
              <w:marBottom w:val="0"/>
              <w:divBdr>
                <w:top w:val="none" w:sz="0" w:space="0" w:color="auto"/>
                <w:left w:val="none" w:sz="0" w:space="0" w:color="auto"/>
                <w:bottom w:val="none" w:sz="0" w:space="0" w:color="auto"/>
                <w:right w:val="none" w:sz="0" w:space="0" w:color="auto"/>
              </w:divBdr>
              <w:divsChild>
                <w:div w:id="1558665567">
                  <w:marLeft w:val="0"/>
                  <w:marRight w:val="0"/>
                  <w:marTop w:val="0"/>
                  <w:marBottom w:val="0"/>
                  <w:divBdr>
                    <w:top w:val="none" w:sz="0" w:space="0" w:color="auto"/>
                    <w:left w:val="none" w:sz="0" w:space="0" w:color="auto"/>
                    <w:bottom w:val="none" w:sz="0" w:space="0" w:color="auto"/>
                    <w:right w:val="none" w:sz="0" w:space="0" w:color="auto"/>
                  </w:divBdr>
                  <w:divsChild>
                    <w:div w:id="1923640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149747">
          <w:marLeft w:val="0"/>
          <w:marRight w:val="0"/>
          <w:marTop w:val="0"/>
          <w:marBottom w:val="0"/>
          <w:divBdr>
            <w:top w:val="none" w:sz="0" w:space="0" w:color="auto"/>
            <w:left w:val="none" w:sz="0" w:space="0" w:color="auto"/>
            <w:bottom w:val="none" w:sz="0" w:space="0" w:color="auto"/>
            <w:right w:val="none" w:sz="0" w:space="0" w:color="auto"/>
          </w:divBdr>
          <w:divsChild>
            <w:div w:id="90704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111595">
      <w:bodyDiv w:val="1"/>
      <w:marLeft w:val="0"/>
      <w:marRight w:val="0"/>
      <w:marTop w:val="0"/>
      <w:marBottom w:val="0"/>
      <w:divBdr>
        <w:top w:val="none" w:sz="0" w:space="0" w:color="auto"/>
        <w:left w:val="none" w:sz="0" w:space="0" w:color="auto"/>
        <w:bottom w:val="none" w:sz="0" w:space="0" w:color="auto"/>
        <w:right w:val="none" w:sz="0" w:space="0" w:color="auto"/>
      </w:divBdr>
    </w:div>
    <w:div w:id="1507788675">
      <w:bodyDiv w:val="1"/>
      <w:marLeft w:val="0"/>
      <w:marRight w:val="0"/>
      <w:marTop w:val="0"/>
      <w:marBottom w:val="0"/>
      <w:divBdr>
        <w:top w:val="none" w:sz="0" w:space="0" w:color="auto"/>
        <w:left w:val="none" w:sz="0" w:space="0" w:color="auto"/>
        <w:bottom w:val="none" w:sz="0" w:space="0" w:color="auto"/>
        <w:right w:val="none" w:sz="0" w:space="0" w:color="auto"/>
      </w:divBdr>
    </w:div>
    <w:div w:id="1630090751">
      <w:bodyDiv w:val="1"/>
      <w:marLeft w:val="0"/>
      <w:marRight w:val="0"/>
      <w:marTop w:val="0"/>
      <w:marBottom w:val="0"/>
      <w:divBdr>
        <w:top w:val="none" w:sz="0" w:space="0" w:color="auto"/>
        <w:left w:val="none" w:sz="0" w:space="0" w:color="auto"/>
        <w:bottom w:val="none" w:sz="0" w:space="0" w:color="auto"/>
        <w:right w:val="none" w:sz="0" w:space="0" w:color="auto"/>
      </w:divBdr>
    </w:div>
    <w:div w:id="1704555267">
      <w:bodyDiv w:val="1"/>
      <w:marLeft w:val="0"/>
      <w:marRight w:val="0"/>
      <w:marTop w:val="0"/>
      <w:marBottom w:val="0"/>
      <w:divBdr>
        <w:top w:val="none" w:sz="0" w:space="0" w:color="auto"/>
        <w:left w:val="none" w:sz="0" w:space="0" w:color="auto"/>
        <w:bottom w:val="none" w:sz="0" w:space="0" w:color="auto"/>
        <w:right w:val="none" w:sz="0" w:space="0" w:color="auto"/>
      </w:divBdr>
    </w:div>
    <w:div w:id="1705136635">
      <w:bodyDiv w:val="1"/>
      <w:marLeft w:val="0"/>
      <w:marRight w:val="0"/>
      <w:marTop w:val="0"/>
      <w:marBottom w:val="0"/>
      <w:divBdr>
        <w:top w:val="none" w:sz="0" w:space="0" w:color="auto"/>
        <w:left w:val="none" w:sz="0" w:space="0" w:color="auto"/>
        <w:bottom w:val="none" w:sz="0" w:space="0" w:color="auto"/>
        <w:right w:val="none" w:sz="0" w:space="0" w:color="auto"/>
      </w:divBdr>
    </w:div>
    <w:div w:id="1712654214">
      <w:bodyDiv w:val="1"/>
      <w:marLeft w:val="0"/>
      <w:marRight w:val="0"/>
      <w:marTop w:val="0"/>
      <w:marBottom w:val="0"/>
      <w:divBdr>
        <w:top w:val="none" w:sz="0" w:space="0" w:color="auto"/>
        <w:left w:val="none" w:sz="0" w:space="0" w:color="auto"/>
        <w:bottom w:val="none" w:sz="0" w:space="0" w:color="auto"/>
        <w:right w:val="none" w:sz="0" w:space="0" w:color="auto"/>
      </w:divBdr>
      <w:divsChild>
        <w:div w:id="734545837">
          <w:marLeft w:val="0"/>
          <w:marRight w:val="0"/>
          <w:marTop w:val="0"/>
          <w:marBottom w:val="0"/>
          <w:divBdr>
            <w:top w:val="none" w:sz="0" w:space="0" w:color="auto"/>
            <w:left w:val="none" w:sz="0" w:space="0" w:color="auto"/>
            <w:bottom w:val="none" w:sz="0" w:space="0" w:color="auto"/>
            <w:right w:val="none" w:sz="0" w:space="0" w:color="auto"/>
          </w:divBdr>
          <w:divsChild>
            <w:div w:id="974986513">
              <w:marLeft w:val="0"/>
              <w:marRight w:val="0"/>
              <w:marTop w:val="0"/>
              <w:marBottom w:val="0"/>
              <w:divBdr>
                <w:top w:val="none" w:sz="0" w:space="0" w:color="auto"/>
                <w:left w:val="none" w:sz="0" w:space="0" w:color="auto"/>
                <w:bottom w:val="none" w:sz="0" w:space="0" w:color="auto"/>
                <w:right w:val="none" w:sz="0" w:space="0" w:color="auto"/>
              </w:divBdr>
              <w:divsChild>
                <w:div w:id="486629921">
                  <w:marLeft w:val="0"/>
                  <w:marRight w:val="0"/>
                  <w:marTop w:val="0"/>
                  <w:marBottom w:val="0"/>
                  <w:divBdr>
                    <w:top w:val="none" w:sz="0" w:space="0" w:color="auto"/>
                    <w:left w:val="none" w:sz="0" w:space="0" w:color="auto"/>
                    <w:bottom w:val="none" w:sz="0" w:space="0" w:color="auto"/>
                    <w:right w:val="none" w:sz="0" w:space="0" w:color="auto"/>
                  </w:divBdr>
                  <w:divsChild>
                    <w:div w:id="962539457">
                      <w:marLeft w:val="0"/>
                      <w:marRight w:val="0"/>
                      <w:marTop w:val="0"/>
                      <w:marBottom w:val="0"/>
                      <w:divBdr>
                        <w:top w:val="none" w:sz="0" w:space="0" w:color="auto"/>
                        <w:left w:val="none" w:sz="0" w:space="0" w:color="auto"/>
                        <w:bottom w:val="none" w:sz="0" w:space="0" w:color="auto"/>
                        <w:right w:val="none" w:sz="0" w:space="0" w:color="auto"/>
                      </w:divBdr>
                      <w:divsChild>
                        <w:div w:id="449666022">
                          <w:marLeft w:val="0"/>
                          <w:marRight w:val="0"/>
                          <w:marTop w:val="0"/>
                          <w:marBottom w:val="0"/>
                          <w:divBdr>
                            <w:top w:val="none" w:sz="0" w:space="0" w:color="auto"/>
                            <w:left w:val="none" w:sz="0" w:space="0" w:color="auto"/>
                            <w:bottom w:val="none" w:sz="0" w:space="0" w:color="auto"/>
                            <w:right w:val="none" w:sz="0" w:space="0" w:color="auto"/>
                          </w:divBdr>
                        </w:div>
                        <w:div w:id="1449278983">
                          <w:marLeft w:val="0"/>
                          <w:marRight w:val="0"/>
                          <w:marTop w:val="0"/>
                          <w:marBottom w:val="0"/>
                          <w:divBdr>
                            <w:top w:val="none" w:sz="0" w:space="0" w:color="auto"/>
                            <w:left w:val="none" w:sz="0" w:space="0" w:color="auto"/>
                            <w:bottom w:val="none" w:sz="0" w:space="0" w:color="auto"/>
                            <w:right w:val="none" w:sz="0" w:space="0" w:color="auto"/>
                          </w:divBdr>
                          <w:divsChild>
                            <w:div w:id="858351065">
                              <w:marLeft w:val="0"/>
                              <w:marRight w:val="0"/>
                              <w:marTop w:val="0"/>
                              <w:marBottom w:val="0"/>
                              <w:divBdr>
                                <w:top w:val="none" w:sz="0" w:space="0" w:color="auto"/>
                                <w:left w:val="none" w:sz="0" w:space="0" w:color="auto"/>
                                <w:bottom w:val="none" w:sz="0" w:space="0" w:color="auto"/>
                                <w:right w:val="none" w:sz="0" w:space="0" w:color="auto"/>
                              </w:divBdr>
                              <w:divsChild>
                                <w:div w:id="31353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103786">
                          <w:marLeft w:val="0"/>
                          <w:marRight w:val="0"/>
                          <w:marTop w:val="0"/>
                          <w:marBottom w:val="0"/>
                          <w:divBdr>
                            <w:top w:val="none" w:sz="0" w:space="0" w:color="auto"/>
                            <w:left w:val="none" w:sz="0" w:space="0" w:color="auto"/>
                            <w:bottom w:val="none" w:sz="0" w:space="0" w:color="auto"/>
                            <w:right w:val="none" w:sz="0" w:space="0" w:color="auto"/>
                          </w:divBdr>
                          <w:divsChild>
                            <w:div w:id="1947149237">
                              <w:marLeft w:val="0"/>
                              <w:marRight w:val="0"/>
                              <w:marTop w:val="0"/>
                              <w:marBottom w:val="0"/>
                              <w:divBdr>
                                <w:top w:val="none" w:sz="0" w:space="0" w:color="auto"/>
                                <w:left w:val="none" w:sz="0" w:space="0" w:color="auto"/>
                                <w:bottom w:val="none" w:sz="0" w:space="0" w:color="auto"/>
                                <w:right w:val="none" w:sz="0" w:space="0" w:color="auto"/>
                              </w:divBdr>
                              <w:divsChild>
                                <w:div w:id="1704865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7197626">
              <w:marLeft w:val="0"/>
              <w:marRight w:val="0"/>
              <w:marTop w:val="0"/>
              <w:marBottom w:val="0"/>
              <w:divBdr>
                <w:top w:val="none" w:sz="0" w:space="0" w:color="auto"/>
                <w:left w:val="none" w:sz="0" w:space="0" w:color="auto"/>
                <w:bottom w:val="none" w:sz="0" w:space="0" w:color="auto"/>
                <w:right w:val="none" w:sz="0" w:space="0" w:color="auto"/>
              </w:divBdr>
              <w:divsChild>
                <w:div w:id="66654424">
                  <w:marLeft w:val="0"/>
                  <w:marRight w:val="0"/>
                  <w:marTop w:val="0"/>
                  <w:marBottom w:val="0"/>
                  <w:divBdr>
                    <w:top w:val="none" w:sz="0" w:space="0" w:color="auto"/>
                    <w:left w:val="none" w:sz="0" w:space="0" w:color="auto"/>
                    <w:bottom w:val="none" w:sz="0" w:space="0" w:color="auto"/>
                    <w:right w:val="none" w:sz="0" w:space="0" w:color="auto"/>
                  </w:divBdr>
                  <w:divsChild>
                    <w:div w:id="1159880631">
                      <w:marLeft w:val="0"/>
                      <w:marRight w:val="0"/>
                      <w:marTop w:val="0"/>
                      <w:marBottom w:val="0"/>
                      <w:divBdr>
                        <w:top w:val="none" w:sz="0" w:space="0" w:color="auto"/>
                        <w:left w:val="none" w:sz="0" w:space="0" w:color="auto"/>
                        <w:bottom w:val="none" w:sz="0" w:space="0" w:color="auto"/>
                        <w:right w:val="none" w:sz="0" w:space="0" w:color="auto"/>
                      </w:divBdr>
                      <w:divsChild>
                        <w:div w:id="822815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5471319">
      <w:bodyDiv w:val="1"/>
      <w:marLeft w:val="0"/>
      <w:marRight w:val="0"/>
      <w:marTop w:val="0"/>
      <w:marBottom w:val="0"/>
      <w:divBdr>
        <w:top w:val="none" w:sz="0" w:space="0" w:color="auto"/>
        <w:left w:val="none" w:sz="0" w:space="0" w:color="auto"/>
        <w:bottom w:val="none" w:sz="0" w:space="0" w:color="auto"/>
        <w:right w:val="none" w:sz="0" w:space="0" w:color="auto"/>
      </w:divBdr>
    </w:div>
    <w:div w:id="1768698467">
      <w:bodyDiv w:val="1"/>
      <w:marLeft w:val="0"/>
      <w:marRight w:val="0"/>
      <w:marTop w:val="0"/>
      <w:marBottom w:val="0"/>
      <w:divBdr>
        <w:top w:val="none" w:sz="0" w:space="0" w:color="auto"/>
        <w:left w:val="none" w:sz="0" w:space="0" w:color="auto"/>
        <w:bottom w:val="none" w:sz="0" w:space="0" w:color="auto"/>
        <w:right w:val="none" w:sz="0" w:space="0" w:color="auto"/>
      </w:divBdr>
    </w:div>
    <w:div w:id="1771389954">
      <w:bodyDiv w:val="1"/>
      <w:marLeft w:val="0"/>
      <w:marRight w:val="0"/>
      <w:marTop w:val="0"/>
      <w:marBottom w:val="0"/>
      <w:divBdr>
        <w:top w:val="none" w:sz="0" w:space="0" w:color="auto"/>
        <w:left w:val="none" w:sz="0" w:space="0" w:color="auto"/>
        <w:bottom w:val="none" w:sz="0" w:space="0" w:color="auto"/>
        <w:right w:val="none" w:sz="0" w:space="0" w:color="auto"/>
      </w:divBdr>
      <w:divsChild>
        <w:div w:id="431126372">
          <w:marLeft w:val="0"/>
          <w:marRight w:val="0"/>
          <w:marTop w:val="0"/>
          <w:marBottom w:val="0"/>
          <w:divBdr>
            <w:top w:val="none" w:sz="0" w:space="0" w:color="auto"/>
            <w:left w:val="none" w:sz="0" w:space="0" w:color="auto"/>
            <w:bottom w:val="none" w:sz="0" w:space="0" w:color="auto"/>
            <w:right w:val="none" w:sz="0" w:space="0" w:color="auto"/>
          </w:divBdr>
          <w:divsChild>
            <w:div w:id="267200085">
              <w:marLeft w:val="0"/>
              <w:marRight w:val="0"/>
              <w:marTop w:val="0"/>
              <w:marBottom w:val="0"/>
              <w:divBdr>
                <w:top w:val="none" w:sz="0" w:space="0" w:color="auto"/>
                <w:left w:val="none" w:sz="0" w:space="0" w:color="auto"/>
                <w:bottom w:val="none" w:sz="0" w:space="0" w:color="auto"/>
                <w:right w:val="none" w:sz="0" w:space="0" w:color="auto"/>
              </w:divBdr>
              <w:divsChild>
                <w:div w:id="1436440402">
                  <w:marLeft w:val="0"/>
                  <w:marRight w:val="0"/>
                  <w:marTop w:val="0"/>
                  <w:marBottom w:val="0"/>
                  <w:divBdr>
                    <w:top w:val="none" w:sz="0" w:space="0" w:color="auto"/>
                    <w:left w:val="none" w:sz="0" w:space="0" w:color="auto"/>
                    <w:bottom w:val="none" w:sz="0" w:space="0" w:color="auto"/>
                    <w:right w:val="none" w:sz="0" w:space="0" w:color="auto"/>
                  </w:divBdr>
                  <w:divsChild>
                    <w:div w:id="1012604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0794795">
          <w:marLeft w:val="0"/>
          <w:marRight w:val="0"/>
          <w:marTop w:val="0"/>
          <w:marBottom w:val="0"/>
          <w:divBdr>
            <w:top w:val="none" w:sz="0" w:space="0" w:color="auto"/>
            <w:left w:val="none" w:sz="0" w:space="0" w:color="auto"/>
            <w:bottom w:val="none" w:sz="0" w:space="0" w:color="auto"/>
            <w:right w:val="none" w:sz="0" w:space="0" w:color="auto"/>
          </w:divBdr>
          <w:divsChild>
            <w:div w:id="1631940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565161">
      <w:bodyDiv w:val="1"/>
      <w:marLeft w:val="0"/>
      <w:marRight w:val="0"/>
      <w:marTop w:val="0"/>
      <w:marBottom w:val="0"/>
      <w:divBdr>
        <w:top w:val="none" w:sz="0" w:space="0" w:color="auto"/>
        <w:left w:val="none" w:sz="0" w:space="0" w:color="auto"/>
        <w:bottom w:val="none" w:sz="0" w:space="0" w:color="auto"/>
        <w:right w:val="none" w:sz="0" w:space="0" w:color="auto"/>
      </w:divBdr>
      <w:divsChild>
        <w:div w:id="880753978">
          <w:marLeft w:val="0"/>
          <w:marRight w:val="0"/>
          <w:marTop w:val="0"/>
          <w:marBottom w:val="0"/>
          <w:divBdr>
            <w:top w:val="none" w:sz="0" w:space="0" w:color="auto"/>
            <w:left w:val="none" w:sz="0" w:space="0" w:color="auto"/>
            <w:bottom w:val="none" w:sz="0" w:space="0" w:color="auto"/>
            <w:right w:val="none" w:sz="0" w:space="0" w:color="auto"/>
          </w:divBdr>
          <w:divsChild>
            <w:div w:id="492911852">
              <w:marLeft w:val="0"/>
              <w:marRight w:val="0"/>
              <w:marTop w:val="0"/>
              <w:marBottom w:val="0"/>
              <w:divBdr>
                <w:top w:val="none" w:sz="0" w:space="0" w:color="auto"/>
                <w:left w:val="none" w:sz="0" w:space="0" w:color="auto"/>
                <w:bottom w:val="none" w:sz="0" w:space="0" w:color="auto"/>
                <w:right w:val="none" w:sz="0" w:space="0" w:color="auto"/>
              </w:divBdr>
              <w:divsChild>
                <w:div w:id="1019116543">
                  <w:marLeft w:val="0"/>
                  <w:marRight w:val="0"/>
                  <w:marTop w:val="0"/>
                  <w:marBottom w:val="0"/>
                  <w:divBdr>
                    <w:top w:val="none" w:sz="0" w:space="0" w:color="auto"/>
                    <w:left w:val="none" w:sz="0" w:space="0" w:color="auto"/>
                    <w:bottom w:val="none" w:sz="0" w:space="0" w:color="auto"/>
                    <w:right w:val="none" w:sz="0" w:space="0" w:color="auto"/>
                  </w:divBdr>
                  <w:divsChild>
                    <w:div w:id="170609988">
                      <w:marLeft w:val="0"/>
                      <w:marRight w:val="0"/>
                      <w:marTop w:val="0"/>
                      <w:marBottom w:val="0"/>
                      <w:divBdr>
                        <w:top w:val="none" w:sz="0" w:space="0" w:color="auto"/>
                        <w:left w:val="none" w:sz="0" w:space="0" w:color="auto"/>
                        <w:bottom w:val="none" w:sz="0" w:space="0" w:color="auto"/>
                        <w:right w:val="none" w:sz="0" w:space="0" w:color="auto"/>
                      </w:divBdr>
                      <w:divsChild>
                        <w:div w:id="107090427">
                          <w:marLeft w:val="0"/>
                          <w:marRight w:val="0"/>
                          <w:marTop w:val="0"/>
                          <w:marBottom w:val="0"/>
                          <w:divBdr>
                            <w:top w:val="none" w:sz="0" w:space="0" w:color="auto"/>
                            <w:left w:val="none" w:sz="0" w:space="0" w:color="auto"/>
                            <w:bottom w:val="none" w:sz="0" w:space="0" w:color="auto"/>
                            <w:right w:val="none" w:sz="0" w:space="0" w:color="auto"/>
                          </w:divBdr>
                          <w:divsChild>
                            <w:div w:id="715083304">
                              <w:marLeft w:val="0"/>
                              <w:marRight w:val="0"/>
                              <w:marTop w:val="0"/>
                              <w:marBottom w:val="0"/>
                              <w:divBdr>
                                <w:top w:val="none" w:sz="0" w:space="0" w:color="auto"/>
                                <w:left w:val="none" w:sz="0" w:space="0" w:color="auto"/>
                                <w:bottom w:val="none" w:sz="0" w:space="0" w:color="auto"/>
                                <w:right w:val="none" w:sz="0" w:space="0" w:color="auto"/>
                              </w:divBdr>
                              <w:divsChild>
                                <w:div w:id="299846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023600">
                          <w:marLeft w:val="0"/>
                          <w:marRight w:val="0"/>
                          <w:marTop w:val="0"/>
                          <w:marBottom w:val="0"/>
                          <w:divBdr>
                            <w:top w:val="none" w:sz="0" w:space="0" w:color="auto"/>
                            <w:left w:val="none" w:sz="0" w:space="0" w:color="auto"/>
                            <w:bottom w:val="none" w:sz="0" w:space="0" w:color="auto"/>
                            <w:right w:val="none" w:sz="0" w:space="0" w:color="auto"/>
                          </w:divBdr>
                        </w:div>
                        <w:div w:id="1192379241">
                          <w:marLeft w:val="0"/>
                          <w:marRight w:val="0"/>
                          <w:marTop w:val="0"/>
                          <w:marBottom w:val="0"/>
                          <w:divBdr>
                            <w:top w:val="none" w:sz="0" w:space="0" w:color="auto"/>
                            <w:left w:val="none" w:sz="0" w:space="0" w:color="auto"/>
                            <w:bottom w:val="none" w:sz="0" w:space="0" w:color="auto"/>
                            <w:right w:val="none" w:sz="0" w:space="0" w:color="auto"/>
                          </w:divBdr>
                        </w:div>
                        <w:div w:id="1726097964">
                          <w:marLeft w:val="0"/>
                          <w:marRight w:val="0"/>
                          <w:marTop w:val="0"/>
                          <w:marBottom w:val="0"/>
                          <w:divBdr>
                            <w:top w:val="none" w:sz="0" w:space="0" w:color="auto"/>
                            <w:left w:val="none" w:sz="0" w:space="0" w:color="auto"/>
                            <w:bottom w:val="none" w:sz="0" w:space="0" w:color="auto"/>
                            <w:right w:val="none" w:sz="0" w:space="0" w:color="auto"/>
                          </w:divBdr>
                          <w:divsChild>
                            <w:div w:id="2123920068">
                              <w:marLeft w:val="0"/>
                              <w:marRight w:val="0"/>
                              <w:marTop w:val="0"/>
                              <w:marBottom w:val="0"/>
                              <w:divBdr>
                                <w:top w:val="none" w:sz="0" w:space="0" w:color="auto"/>
                                <w:left w:val="none" w:sz="0" w:space="0" w:color="auto"/>
                                <w:bottom w:val="none" w:sz="0" w:space="0" w:color="auto"/>
                                <w:right w:val="none" w:sz="0" w:space="0" w:color="auto"/>
                              </w:divBdr>
                              <w:divsChild>
                                <w:div w:id="2057003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3677895">
              <w:marLeft w:val="0"/>
              <w:marRight w:val="0"/>
              <w:marTop w:val="0"/>
              <w:marBottom w:val="0"/>
              <w:divBdr>
                <w:top w:val="none" w:sz="0" w:space="0" w:color="auto"/>
                <w:left w:val="none" w:sz="0" w:space="0" w:color="auto"/>
                <w:bottom w:val="none" w:sz="0" w:space="0" w:color="auto"/>
                <w:right w:val="none" w:sz="0" w:space="0" w:color="auto"/>
              </w:divBdr>
              <w:divsChild>
                <w:div w:id="393090081">
                  <w:marLeft w:val="0"/>
                  <w:marRight w:val="0"/>
                  <w:marTop w:val="0"/>
                  <w:marBottom w:val="0"/>
                  <w:divBdr>
                    <w:top w:val="none" w:sz="0" w:space="0" w:color="auto"/>
                    <w:left w:val="none" w:sz="0" w:space="0" w:color="auto"/>
                    <w:bottom w:val="none" w:sz="0" w:space="0" w:color="auto"/>
                    <w:right w:val="none" w:sz="0" w:space="0" w:color="auto"/>
                  </w:divBdr>
                  <w:divsChild>
                    <w:div w:id="2044282051">
                      <w:marLeft w:val="0"/>
                      <w:marRight w:val="0"/>
                      <w:marTop w:val="0"/>
                      <w:marBottom w:val="0"/>
                      <w:divBdr>
                        <w:top w:val="none" w:sz="0" w:space="0" w:color="auto"/>
                        <w:left w:val="none" w:sz="0" w:space="0" w:color="auto"/>
                        <w:bottom w:val="none" w:sz="0" w:space="0" w:color="auto"/>
                        <w:right w:val="none" w:sz="0" w:space="0" w:color="auto"/>
                      </w:divBdr>
                      <w:divsChild>
                        <w:div w:id="896281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8752185">
      <w:bodyDiv w:val="1"/>
      <w:marLeft w:val="0"/>
      <w:marRight w:val="0"/>
      <w:marTop w:val="0"/>
      <w:marBottom w:val="0"/>
      <w:divBdr>
        <w:top w:val="none" w:sz="0" w:space="0" w:color="auto"/>
        <w:left w:val="none" w:sz="0" w:space="0" w:color="auto"/>
        <w:bottom w:val="none" w:sz="0" w:space="0" w:color="auto"/>
        <w:right w:val="none" w:sz="0" w:space="0" w:color="auto"/>
      </w:divBdr>
      <w:divsChild>
        <w:div w:id="1327855150">
          <w:marLeft w:val="0"/>
          <w:marRight w:val="0"/>
          <w:marTop w:val="0"/>
          <w:marBottom w:val="0"/>
          <w:divBdr>
            <w:top w:val="none" w:sz="0" w:space="0" w:color="auto"/>
            <w:left w:val="none" w:sz="0" w:space="0" w:color="auto"/>
            <w:bottom w:val="none" w:sz="0" w:space="0" w:color="auto"/>
            <w:right w:val="none" w:sz="0" w:space="0" w:color="auto"/>
          </w:divBdr>
          <w:divsChild>
            <w:div w:id="282731379">
              <w:marLeft w:val="0"/>
              <w:marRight w:val="0"/>
              <w:marTop w:val="0"/>
              <w:marBottom w:val="0"/>
              <w:divBdr>
                <w:top w:val="none" w:sz="0" w:space="0" w:color="auto"/>
                <w:left w:val="none" w:sz="0" w:space="0" w:color="auto"/>
                <w:bottom w:val="none" w:sz="0" w:space="0" w:color="auto"/>
                <w:right w:val="none" w:sz="0" w:space="0" w:color="auto"/>
              </w:divBdr>
              <w:divsChild>
                <w:div w:id="370540831">
                  <w:marLeft w:val="0"/>
                  <w:marRight w:val="0"/>
                  <w:marTop w:val="0"/>
                  <w:marBottom w:val="0"/>
                  <w:divBdr>
                    <w:top w:val="none" w:sz="0" w:space="0" w:color="auto"/>
                    <w:left w:val="none" w:sz="0" w:space="0" w:color="auto"/>
                    <w:bottom w:val="none" w:sz="0" w:space="0" w:color="auto"/>
                    <w:right w:val="none" w:sz="0" w:space="0" w:color="auto"/>
                  </w:divBdr>
                  <w:divsChild>
                    <w:div w:id="1910724878">
                      <w:marLeft w:val="0"/>
                      <w:marRight w:val="0"/>
                      <w:marTop w:val="0"/>
                      <w:marBottom w:val="0"/>
                      <w:divBdr>
                        <w:top w:val="none" w:sz="0" w:space="0" w:color="auto"/>
                        <w:left w:val="none" w:sz="0" w:space="0" w:color="auto"/>
                        <w:bottom w:val="none" w:sz="0" w:space="0" w:color="auto"/>
                        <w:right w:val="none" w:sz="0" w:space="0" w:color="auto"/>
                      </w:divBdr>
                      <w:divsChild>
                        <w:div w:id="943850963">
                          <w:marLeft w:val="0"/>
                          <w:marRight w:val="0"/>
                          <w:marTop w:val="0"/>
                          <w:marBottom w:val="0"/>
                          <w:divBdr>
                            <w:top w:val="none" w:sz="0" w:space="0" w:color="auto"/>
                            <w:left w:val="none" w:sz="0" w:space="0" w:color="auto"/>
                            <w:bottom w:val="none" w:sz="0" w:space="0" w:color="auto"/>
                            <w:right w:val="none" w:sz="0" w:space="0" w:color="auto"/>
                          </w:divBdr>
                          <w:divsChild>
                            <w:div w:id="732119306">
                              <w:marLeft w:val="0"/>
                              <w:marRight w:val="0"/>
                              <w:marTop w:val="0"/>
                              <w:marBottom w:val="0"/>
                              <w:divBdr>
                                <w:top w:val="none" w:sz="0" w:space="0" w:color="auto"/>
                                <w:left w:val="none" w:sz="0" w:space="0" w:color="auto"/>
                                <w:bottom w:val="none" w:sz="0" w:space="0" w:color="auto"/>
                                <w:right w:val="none" w:sz="0" w:space="0" w:color="auto"/>
                              </w:divBdr>
                              <w:divsChild>
                                <w:div w:id="330254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810968">
                          <w:marLeft w:val="0"/>
                          <w:marRight w:val="0"/>
                          <w:marTop w:val="0"/>
                          <w:marBottom w:val="0"/>
                          <w:divBdr>
                            <w:top w:val="none" w:sz="0" w:space="0" w:color="auto"/>
                            <w:left w:val="none" w:sz="0" w:space="0" w:color="auto"/>
                            <w:bottom w:val="none" w:sz="0" w:space="0" w:color="auto"/>
                            <w:right w:val="none" w:sz="0" w:space="0" w:color="auto"/>
                          </w:divBdr>
                          <w:divsChild>
                            <w:div w:id="1976062393">
                              <w:marLeft w:val="0"/>
                              <w:marRight w:val="0"/>
                              <w:marTop w:val="0"/>
                              <w:marBottom w:val="0"/>
                              <w:divBdr>
                                <w:top w:val="none" w:sz="0" w:space="0" w:color="auto"/>
                                <w:left w:val="none" w:sz="0" w:space="0" w:color="auto"/>
                                <w:bottom w:val="none" w:sz="0" w:space="0" w:color="auto"/>
                                <w:right w:val="none" w:sz="0" w:space="0" w:color="auto"/>
                              </w:divBdr>
                              <w:divsChild>
                                <w:div w:id="890658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1590341">
              <w:marLeft w:val="0"/>
              <w:marRight w:val="0"/>
              <w:marTop w:val="0"/>
              <w:marBottom w:val="0"/>
              <w:divBdr>
                <w:top w:val="none" w:sz="0" w:space="0" w:color="auto"/>
                <w:left w:val="none" w:sz="0" w:space="0" w:color="auto"/>
                <w:bottom w:val="none" w:sz="0" w:space="0" w:color="auto"/>
                <w:right w:val="none" w:sz="0" w:space="0" w:color="auto"/>
              </w:divBdr>
              <w:divsChild>
                <w:div w:id="1505626714">
                  <w:marLeft w:val="0"/>
                  <w:marRight w:val="0"/>
                  <w:marTop w:val="0"/>
                  <w:marBottom w:val="0"/>
                  <w:divBdr>
                    <w:top w:val="none" w:sz="0" w:space="0" w:color="auto"/>
                    <w:left w:val="none" w:sz="0" w:space="0" w:color="auto"/>
                    <w:bottom w:val="none" w:sz="0" w:space="0" w:color="auto"/>
                    <w:right w:val="none" w:sz="0" w:space="0" w:color="auto"/>
                  </w:divBdr>
                  <w:divsChild>
                    <w:div w:id="1269000061">
                      <w:marLeft w:val="0"/>
                      <w:marRight w:val="0"/>
                      <w:marTop w:val="0"/>
                      <w:marBottom w:val="0"/>
                      <w:divBdr>
                        <w:top w:val="none" w:sz="0" w:space="0" w:color="auto"/>
                        <w:left w:val="none" w:sz="0" w:space="0" w:color="auto"/>
                        <w:bottom w:val="none" w:sz="0" w:space="0" w:color="auto"/>
                        <w:right w:val="none" w:sz="0" w:space="0" w:color="auto"/>
                      </w:divBdr>
                      <w:divsChild>
                        <w:div w:id="35011527">
                          <w:marLeft w:val="0"/>
                          <w:marRight w:val="0"/>
                          <w:marTop w:val="0"/>
                          <w:marBottom w:val="0"/>
                          <w:divBdr>
                            <w:top w:val="none" w:sz="0" w:space="0" w:color="auto"/>
                            <w:left w:val="none" w:sz="0" w:space="0" w:color="auto"/>
                            <w:bottom w:val="none" w:sz="0" w:space="0" w:color="auto"/>
                            <w:right w:val="none" w:sz="0" w:space="0" w:color="auto"/>
                          </w:divBdr>
                        </w:div>
                      </w:divsChild>
                    </w:div>
                    <w:div w:id="1783915269">
                      <w:marLeft w:val="0"/>
                      <w:marRight w:val="0"/>
                      <w:marTop w:val="0"/>
                      <w:marBottom w:val="0"/>
                      <w:divBdr>
                        <w:top w:val="none" w:sz="0" w:space="0" w:color="auto"/>
                        <w:left w:val="none" w:sz="0" w:space="0" w:color="auto"/>
                        <w:bottom w:val="none" w:sz="0" w:space="0" w:color="auto"/>
                        <w:right w:val="none" w:sz="0" w:space="0" w:color="auto"/>
                      </w:divBdr>
                      <w:divsChild>
                        <w:div w:id="2056613275">
                          <w:marLeft w:val="0"/>
                          <w:marRight w:val="0"/>
                          <w:marTop w:val="0"/>
                          <w:marBottom w:val="0"/>
                          <w:divBdr>
                            <w:top w:val="none" w:sz="0" w:space="0" w:color="auto"/>
                            <w:left w:val="none" w:sz="0" w:space="0" w:color="auto"/>
                            <w:bottom w:val="none" w:sz="0" w:space="0" w:color="auto"/>
                            <w:right w:val="none" w:sz="0" w:space="0" w:color="auto"/>
                          </w:divBdr>
                          <w:divsChild>
                            <w:div w:id="10494328">
                              <w:marLeft w:val="0"/>
                              <w:marRight w:val="0"/>
                              <w:marTop w:val="0"/>
                              <w:marBottom w:val="0"/>
                              <w:divBdr>
                                <w:top w:val="none" w:sz="0" w:space="0" w:color="auto"/>
                                <w:left w:val="none" w:sz="0" w:space="0" w:color="auto"/>
                                <w:bottom w:val="none" w:sz="0" w:space="0" w:color="auto"/>
                                <w:right w:val="none" w:sz="0" w:space="0" w:color="auto"/>
                              </w:divBdr>
                              <w:divsChild>
                                <w:div w:id="135391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9067730">
      <w:bodyDiv w:val="1"/>
      <w:marLeft w:val="0"/>
      <w:marRight w:val="0"/>
      <w:marTop w:val="0"/>
      <w:marBottom w:val="0"/>
      <w:divBdr>
        <w:top w:val="none" w:sz="0" w:space="0" w:color="auto"/>
        <w:left w:val="none" w:sz="0" w:space="0" w:color="auto"/>
        <w:bottom w:val="none" w:sz="0" w:space="0" w:color="auto"/>
        <w:right w:val="none" w:sz="0" w:space="0" w:color="auto"/>
      </w:divBdr>
    </w:div>
    <w:div w:id="2006085646">
      <w:bodyDiv w:val="1"/>
      <w:marLeft w:val="0"/>
      <w:marRight w:val="0"/>
      <w:marTop w:val="0"/>
      <w:marBottom w:val="0"/>
      <w:divBdr>
        <w:top w:val="none" w:sz="0" w:space="0" w:color="auto"/>
        <w:left w:val="none" w:sz="0" w:space="0" w:color="auto"/>
        <w:bottom w:val="none" w:sz="0" w:space="0" w:color="auto"/>
        <w:right w:val="none" w:sz="0" w:space="0" w:color="auto"/>
      </w:divBdr>
    </w:div>
    <w:div w:id="20891108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european-agency.org/resources/publications/agency-position-inclusive-education-systems-flyer" TargetMode="External"/><Relationship Id="rId18" Type="http://schemas.openxmlformats.org/officeDocument/2006/relationships/hyperlink" Target="https://www.european-agency.org/projects/organisation-provision-support-inclusive-education" TargetMode="External"/><Relationship Id="rId26" Type="http://schemas.openxmlformats.org/officeDocument/2006/relationships/hyperlink" Target="https://www.european-agency.org/projects/financing-policies-inclusive-education-systems/partners" TargetMode="External"/><Relationship Id="rId39" Type="http://schemas.openxmlformats.org/officeDocument/2006/relationships/hyperlink" Target="https://www.european-agency.org/projects/TPL4I/policy-mapping" TargetMode="External"/><Relationship Id="rId21" Type="http://schemas.openxmlformats.org/officeDocument/2006/relationships/hyperlink" Target="https://www.european-agency.org/resources/publications/organisation-provision-support-inclusive-education-summary-report" TargetMode="External"/><Relationship Id="rId34" Type="http://schemas.openxmlformats.org/officeDocument/2006/relationships/hyperlink" Target="https://www.european-agency.org/resources/publications/raising-achievement-all-learners-self-review" TargetMode="External"/><Relationship Id="rId42" Type="http://schemas.openxmlformats.org/officeDocument/2006/relationships/hyperlink" Target="https://www.european-agency.org/resources/publications/TPL4I-methodology" TargetMode="External"/><Relationship Id="rId47" Type="http://schemas.openxmlformats.org/officeDocument/2006/relationships/hyperlink" Target="https://www.european-agency.org/projects/SISL" TargetMode="External"/><Relationship Id="rId50" Type="http://schemas.openxmlformats.org/officeDocument/2006/relationships/hyperlink" Target="https://www.european-agency.org/resources/publications/inclusive-school-leadership-synthesis" TargetMode="External"/><Relationship Id="rId55" Type="http://schemas.openxmlformats.org/officeDocument/2006/relationships/hyperlink" Target="https://www.european-agency.org/resources/publications/preventing-school-failure-literature-review" TargetMode="External"/><Relationship Id="rId63"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en.unesco.org/gem-report/report/2020/inclusion" TargetMode="External"/><Relationship Id="rId29" Type="http://schemas.openxmlformats.org/officeDocument/2006/relationships/hyperlink" Target="https://www.european-agency.org/resources/publications/financing-policies-inclusive-education-systems-policy-guidance-framework" TargetMode="External"/><Relationship Id="rId11" Type="http://schemas.openxmlformats.org/officeDocument/2006/relationships/hyperlink" Target="https://www.european-agency.org/about-us/who-we-are/agency-position-inclusive-education-systems" TargetMode="External"/><Relationship Id="rId24" Type="http://schemas.openxmlformats.org/officeDocument/2006/relationships/hyperlink" Target="https://www.inclusive-education-in-action.org/" TargetMode="External"/><Relationship Id="rId32" Type="http://schemas.openxmlformats.org/officeDocument/2006/relationships/hyperlink" Target="https://www.european-agency.org/projects/financing-inclusive-education-mapping-country-systems-inclusive-education/country-diagrams" TargetMode="External"/><Relationship Id="rId37" Type="http://schemas.openxmlformats.org/officeDocument/2006/relationships/hyperlink" Target="https://www.european-agency.org/projects/financing-policies-inclusive-education-systems" TargetMode="External"/><Relationship Id="rId40" Type="http://schemas.openxmlformats.org/officeDocument/2006/relationships/hyperlink" Target="https://www.european-agency.org/resources/publications/TPL4I-policy-self-review-tool" TargetMode="External"/><Relationship Id="rId45" Type="http://schemas.openxmlformats.org/officeDocument/2006/relationships/hyperlink" Target="https://www.european-agency.org/resources/publications/empowering-teachers-promote-inclusive-education" TargetMode="External"/><Relationship Id="rId53" Type="http://schemas.openxmlformats.org/officeDocument/2006/relationships/hyperlink" Target="https://www.european-agency.org/projects/organisation-provision-support-inclusive-education" TargetMode="External"/><Relationship Id="rId58" Type="http://schemas.openxmlformats.org/officeDocument/2006/relationships/hyperlink" Target="https://www.european-agency.org/resources/publications/preventing-school-failure-final-summary-report" TargetMode="External"/><Relationship Id="rId5" Type="http://schemas.openxmlformats.org/officeDocument/2006/relationships/numbering" Target="numbering.xml"/><Relationship Id="rId61" Type="http://schemas.openxmlformats.org/officeDocument/2006/relationships/footer" Target="footer1.xml"/><Relationship Id="rId19" Type="http://schemas.openxmlformats.org/officeDocument/2006/relationships/hyperlink" Target="https://www.european-agency.org/resources/publications/organisation-provision-support-inclusive-education-literature-review" TargetMode="External"/><Relationship Id="rId14" Type="http://schemas.openxmlformats.org/officeDocument/2006/relationships/hyperlink" Target="https://www.european-agency.org/resources/multimedia/infographic-inclusive-education-across-europe" TargetMode="External"/><Relationship Id="rId22" Type="http://schemas.openxmlformats.org/officeDocument/2006/relationships/hyperlink" Target="https://www.european-agency.org/resources/publications/organisation-provision-support-inclusive-education-policy-brief" TargetMode="External"/><Relationship Id="rId27" Type="http://schemas.openxmlformats.org/officeDocument/2006/relationships/hyperlink" Target="https://www.european-agency.org/resources/publications/fpies-synthesis-report" TargetMode="External"/><Relationship Id="rId30" Type="http://schemas.openxmlformats.org/officeDocument/2006/relationships/hyperlink" Target="https://www.european-agency.org/resources/publications/financing-policies-inclusive-education-systems-flyer" TargetMode="External"/><Relationship Id="rId35" Type="http://schemas.openxmlformats.org/officeDocument/2006/relationships/hyperlink" Target="https://www.european-agency.org/resources/publications/TPL4I-policy-self-review-tool" TargetMode="External"/><Relationship Id="rId43" Type="http://schemas.openxmlformats.org/officeDocument/2006/relationships/hyperlink" Target="https://www.european-agency.org/resources/publications/TPL4I-final-summary-report" TargetMode="External"/><Relationship Id="rId48" Type="http://schemas.openxmlformats.org/officeDocument/2006/relationships/hyperlink" Target="https://www.european-agency.org/resources/publications/supporting-inclusive-school-leadership-literature-review" TargetMode="External"/><Relationship Id="rId56" Type="http://schemas.openxmlformats.org/officeDocument/2006/relationships/hyperlink" Target="https://www.european-agency.org/sites/default/files/PSF_Country_Information_Thematic_Analysis.pdf" TargetMode="External"/><Relationship Id="rId64"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hyperlink" Target="https://www.european-agency.org/resources/publications/SISL-policy-framework" TargetMode="External"/><Relationship Id="rId3" Type="http://schemas.openxmlformats.org/officeDocument/2006/relationships/customXml" Target="../customXml/item3.xml"/><Relationship Id="rId12" Type="http://schemas.openxmlformats.org/officeDocument/2006/relationships/hyperlink" Target="http://www.european-agency.org/sites/default/files/about-us/Annex_to_the_Agency_Position_on_Inclusive_Education_Systems.pdf" TargetMode="External"/><Relationship Id="rId17" Type="http://schemas.openxmlformats.org/officeDocument/2006/relationships/hyperlink" Target="https://sdg4education2030.org/the-goal" TargetMode="External"/><Relationship Id="rId25" Type="http://schemas.openxmlformats.org/officeDocument/2006/relationships/hyperlink" Target="https://www.inclusive-education-in-action.org/case-studies" TargetMode="External"/><Relationship Id="rId33" Type="http://schemas.openxmlformats.org/officeDocument/2006/relationships/hyperlink" Target="https://www.european-agency.org/resources/publications/financing-inclusive-education-mapping-country-systems-inclusive-education" TargetMode="External"/><Relationship Id="rId38" Type="http://schemas.openxmlformats.org/officeDocument/2006/relationships/hyperlink" Target="https://www.european-agency.org/resources/publications/TPL4I-literature-review" TargetMode="External"/><Relationship Id="rId46" Type="http://schemas.openxmlformats.org/officeDocument/2006/relationships/hyperlink" Target="https://www.european-agency.org/resources/publications/teacher-education-inclusion-profile-inclusive-teachers" TargetMode="External"/><Relationship Id="rId59" Type="http://schemas.openxmlformats.org/officeDocument/2006/relationships/header" Target="header1.xml"/><Relationship Id="rId20" Type="http://schemas.openxmlformats.org/officeDocument/2006/relationships/hyperlink" Target="https://www.european-agency.org/projects/organisation-provision-support-inclusive-education/country-visits-seminars" TargetMode="External"/><Relationship Id="rId41" Type="http://schemas.openxmlformats.org/officeDocument/2006/relationships/hyperlink" Target="https://www.european-agency.org/resources/publications/TPL4I-synthesis" TargetMode="External"/><Relationship Id="rId54" Type="http://schemas.openxmlformats.org/officeDocument/2006/relationships/hyperlink" Target="https://www.european-agency.org/projects/raising-achievement-all-learners-inclusive-education" TargetMode="External"/><Relationship Id="rId62"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european-agency.org/resources/multimedia/agencys-vision-inclusive-education-systems" TargetMode="External"/><Relationship Id="rId23" Type="http://schemas.openxmlformats.org/officeDocument/2006/relationships/hyperlink" Target="https://www.european-agency.org/projects/organisation-provision-support-inclusive-education/increasing-inclusive-capability" TargetMode="External"/><Relationship Id="rId28" Type="http://schemas.openxmlformats.org/officeDocument/2006/relationships/hyperlink" Target="https://www.european-agency.org/resources/publications/financing-policies-inclusive-education-systems-final-summary-report" TargetMode="External"/><Relationship Id="rId36" Type="http://schemas.openxmlformats.org/officeDocument/2006/relationships/hyperlink" Target="https://www.european-agency.org/resources/publications/financing-policies-inclusive-education-systems-policy-guidance-framework" TargetMode="External"/><Relationship Id="rId49" Type="http://schemas.openxmlformats.org/officeDocument/2006/relationships/hyperlink" Target="https://www.european-agency.org/resources/publications/supporting-inclusive-school-leadership-policy-review" TargetMode="External"/><Relationship Id="rId57" Type="http://schemas.openxmlformats.org/officeDocument/2006/relationships/hyperlink" Target="https://www.european-agency.org/resources/publications/preventing-school-failure-synthesis-report" TargetMode="External"/><Relationship Id="rId10" Type="http://schemas.openxmlformats.org/officeDocument/2006/relationships/endnotes" Target="endnotes.xml"/><Relationship Id="rId31" Type="http://schemas.openxmlformats.org/officeDocument/2006/relationships/hyperlink" Target="https://www.european-agency.org/projects/financing-inclusive-education-mapping-country-systems-inclusive-education" TargetMode="External"/><Relationship Id="rId44" Type="http://schemas.openxmlformats.org/officeDocument/2006/relationships/hyperlink" Target="http://www.inclusive-education-in-action.org" TargetMode="External"/><Relationship Id="rId52" Type="http://schemas.openxmlformats.org/officeDocument/2006/relationships/hyperlink" Target="https://www.european-agency.org/agency-projects/increasing-inclusive-capability" TargetMode="External"/><Relationship Id="rId60"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marcellaturner/Library/Group%2520Containers/UBF8T346G9.Office/User%2520Content.localized/Templates.localized/SRSS-Czech-Template-logo-09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76F1BDC85DEEC74C870A0853CD5588E8" ma:contentTypeVersion="18" ma:contentTypeDescription="Create a new document." ma:contentTypeScope="" ma:versionID="24c3e8681b8f5ea99c672a4845035385">
  <xsd:schema xmlns:xsd="http://www.w3.org/2001/XMLSchema" xmlns:xs="http://www.w3.org/2001/XMLSchema" xmlns:p="http://schemas.microsoft.com/office/2006/metadata/properties" xmlns:ns1="http://schemas.microsoft.com/sharepoint/v3" xmlns:ns2="29ae7998-ccd0-4263-bc53-7550cb5938ea" xmlns:ns3="a2583af2-6f8c-48fa-9b25-65670c84e276" xmlns:ns4="0eb656aa-4e79-4e95-9076-bc119a23e0cc" targetNamespace="http://schemas.microsoft.com/office/2006/metadata/properties" ma:root="true" ma:fieldsID="da15f66ce1b4050de1e40457c15dcda6" ns1:_="" ns2:_="" ns3:_="" ns4:_="">
    <xsd:import namespace="http://schemas.microsoft.com/sharepoint/v3"/>
    <xsd:import namespace="29ae7998-ccd0-4263-bc53-7550cb5938ea"/>
    <xsd:import namespace="a2583af2-6f8c-48fa-9b25-65670c84e276"/>
    <xsd:import namespace="0eb656aa-4e79-4e95-9076-bc119a23e0c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1:_ip_UnifiedCompliancePolicyProperties" minOccurs="0"/>
                <xsd:element ref="ns1:_ip_UnifiedCompliancePolicyUIAction"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ae7998-ccd0-4263-bc53-7550cb5938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Location" ma:index="14"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4ab4d203-2ca9-4f3c-8b20-88208da53c6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2583af2-6f8c-48fa-9b25-65670c84e276"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eb656aa-4e79-4e95-9076-bc119a23e0cc"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2f451807-32b3-4b0c-be3e-9f986dc3d001}" ma:internalName="TaxCatchAll" ma:showField="CatchAllData" ma:web="a2583af2-6f8c-48fa-9b25-65670c84e2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9ae7998-ccd0-4263-bc53-7550cb5938ea">
      <Terms xmlns="http://schemas.microsoft.com/office/infopath/2007/PartnerControls"/>
    </lcf76f155ced4ddcb4097134ff3c332f>
    <TaxCatchAll xmlns="0eb656aa-4e79-4e95-9076-bc119a23e0cc" xsi:nil="true"/>
    <_ip_UnifiedCompliancePolicyUIAction xmlns="http://schemas.microsoft.com/sharepoint/v3" xsi:nil="true"/>
    <_ip_UnifiedCompliancePolicyProperties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DB4F775-5326-174C-86B1-C1EA95E51504}">
  <ds:schemaRefs>
    <ds:schemaRef ds:uri="http://schemas.openxmlformats.org/officeDocument/2006/bibliography"/>
  </ds:schemaRefs>
</ds:datastoreItem>
</file>

<file path=customXml/itemProps2.xml><?xml version="1.0" encoding="utf-8"?>
<ds:datastoreItem xmlns:ds="http://schemas.openxmlformats.org/officeDocument/2006/customXml" ds:itemID="{A394BBF9-6306-4158-B22C-6AE8D86ED1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9ae7998-ccd0-4263-bc53-7550cb5938ea"/>
    <ds:schemaRef ds:uri="a2583af2-6f8c-48fa-9b25-65670c84e276"/>
    <ds:schemaRef ds:uri="0eb656aa-4e79-4e95-9076-bc119a23e0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8C57E70-FC8F-4D49-953E-6BC5143C7939}">
  <ds:schemaRefs>
    <ds:schemaRef ds:uri="http://schemas.microsoft.com/office/2006/metadata/properties"/>
    <ds:schemaRef ds:uri="http://schemas.microsoft.com/office/infopath/2007/PartnerControls"/>
    <ds:schemaRef ds:uri="29ae7998-ccd0-4263-bc53-7550cb5938ea"/>
    <ds:schemaRef ds:uri="0eb656aa-4e79-4e95-9076-bc119a23e0cc"/>
    <ds:schemaRef ds:uri="http://schemas.microsoft.com/sharepoint/v3"/>
  </ds:schemaRefs>
</ds:datastoreItem>
</file>

<file path=customXml/itemProps4.xml><?xml version="1.0" encoding="utf-8"?>
<ds:datastoreItem xmlns:ds="http://schemas.openxmlformats.org/officeDocument/2006/customXml" ds:itemID="{075DCA60-8209-4B42-85CB-BE32C6CCB8E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SRSS-Czech-Template-logo-0919.dotx</Template>
  <TotalTime>49</TotalTime>
  <Pages>8</Pages>
  <Words>3782</Words>
  <Characters>21562</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Manager/>
  <Company>European Agency for Special Needs and Inclusive Education</Company>
  <LinksUpToDate>false</LinksUpToDate>
  <CharactersWithSpaces>25294</CharactersWithSpaces>
  <SharedDoc>false</SharedDoc>
  <HyperlinkBase/>
  <HLinks>
    <vt:vector size="288" baseType="variant">
      <vt:variant>
        <vt:i4>4653122</vt:i4>
      </vt:variant>
      <vt:variant>
        <vt:i4>141</vt:i4>
      </vt:variant>
      <vt:variant>
        <vt:i4>0</vt:i4>
      </vt:variant>
      <vt:variant>
        <vt:i4>5</vt:i4>
      </vt:variant>
      <vt:variant>
        <vt:lpwstr>https://www.european-agency.org/resources/publications/preventing-school-failure-final-summary-report</vt:lpwstr>
      </vt:variant>
      <vt:variant>
        <vt:lpwstr/>
      </vt:variant>
      <vt:variant>
        <vt:i4>5242892</vt:i4>
      </vt:variant>
      <vt:variant>
        <vt:i4>138</vt:i4>
      </vt:variant>
      <vt:variant>
        <vt:i4>0</vt:i4>
      </vt:variant>
      <vt:variant>
        <vt:i4>5</vt:i4>
      </vt:variant>
      <vt:variant>
        <vt:lpwstr>https://www.european-agency.org/resources/publications/preventing-school-failure-synthesis-report</vt:lpwstr>
      </vt:variant>
      <vt:variant>
        <vt:lpwstr/>
      </vt:variant>
      <vt:variant>
        <vt:i4>6946879</vt:i4>
      </vt:variant>
      <vt:variant>
        <vt:i4>135</vt:i4>
      </vt:variant>
      <vt:variant>
        <vt:i4>0</vt:i4>
      </vt:variant>
      <vt:variant>
        <vt:i4>5</vt:i4>
      </vt:variant>
      <vt:variant>
        <vt:lpwstr>https://www.european-agency.org/sites/default/files/PSF_Country_Information_Thematic_Analysis.pdf</vt:lpwstr>
      </vt:variant>
      <vt:variant>
        <vt:lpwstr/>
      </vt:variant>
      <vt:variant>
        <vt:i4>7274550</vt:i4>
      </vt:variant>
      <vt:variant>
        <vt:i4>132</vt:i4>
      </vt:variant>
      <vt:variant>
        <vt:i4>0</vt:i4>
      </vt:variant>
      <vt:variant>
        <vt:i4>5</vt:i4>
      </vt:variant>
      <vt:variant>
        <vt:lpwstr>https://www.european-agency.org/resources/publications/preventing-school-failure-literature-review</vt:lpwstr>
      </vt:variant>
      <vt:variant>
        <vt:lpwstr/>
      </vt:variant>
      <vt:variant>
        <vt:i4>5177370</vt:i4>
      </vt:variant>
      <vt:variant>
        <vt:i4>129</vt:i4>
      </vt:variant>
      <vt:variant>
        <vt:i4>0</vt:i4>
      </vt:variant>
      <vt:variant>
        <vt:i4>5</vt:i4>
      </vt:variant>
      <vt:variant>
        <vt:lpwstr>https://www.european-agency.org/projects/raising-achievement-all-learners-inclusive-education</vt:lpwstr>
      </vt:variant>
      <vt:variant>
        <vt:lpwstr/>
      </vt:variant>
      <vt:variant>
        <vt:i4>4128812</vt:i4>
      </vt:variant>
      <vt:variant>
        <vt:i4>126</vt:i4>
      </vt:variant>
      <vt:variant>
        <vt:i4>0</vt:i4>
      </vt:variant>
      <vt:variant>
        <vt:i4>5</vt:i4>
      </vt:variant>
      <vt:variant>
        <vt:lpwstr>https://www.european-agency.org/projects/organisation-provision-support-inclusive-education</vt:lpwstr>
      </vt:variant>
      <vt:variant>
        <vt:lpwstr/>
      </vt:variant>
      <vt:variant>
        <vt:i4>7667748</vt:i4>
      </vt:variant>
      <vt:variant>
        <vt:i4>123</vt:i4>
      </vt:variant>
      <vt:variant>
        <vt:i4>0</vt:i4>
      </vt:variant>
      <vt:variant>
        <vt:i4>5</vt:i4>
      </vt:variant>
      <vt:variant>
        <vt:lpwstr>https://www.european-agency.org/agency-projects/increasing-inclusive-capability</vt:lpwstr>
      </vt:variant>
      <vt:variant>
        <vt:lpwstr/>
      </vt:variant>
      <vt:variant>
        <vt:i4>5832712</vt:i4>
      </vt:variant>
      <vt:variant>
        <vt:i4>120</vt:i4>
      </vt:variant>
      <vt:variant>
        <vt:i4>0</vt:i4>
      </vt:variant>
      <vt:variant>
        <vt:i4>5</vt:i4>
      </vt:variant>
      <vt:variant>
        <vt:lpwstr>https://www.european-agency.org/resources/publications/SISL-policy-framework</vt:lpwstr>
      </vt:variant>
      <vt:variant>
        <vt:lpwstr/>
      </vt:variant>
      <vt:variant>
        <vt:i4>5832785</vt:i4>
      </vt:variant>
      <vt:variant>
        <vt:i4>117</vt:i4>
      </vt:variant>
      <vt:variant>
        <vt:i4>0</vt:i4>
      </vt:variant>
      <vt:variant>
        <vt:i4>5</vt:i4>
      </vt:variant>
      <vt:variant>
        <vt:lpwstr>https://www.european-agency.org/resources/publications/inclusive-school-leadership-synthesis</vt:lpwstr>
      </vt:variant>
      <vt:variant>
        <vt:lpwstr/>
      </vt:variant>
      <vt:variant>
        <vt:i4>3997731</vt:i4>
      </vt:variant>
      <vt:variant>
        <vt:i4>114</vt:i4>
      </vt:variant>
      <vt:variant>
        <vt:i4>0</vt:i4>
      </vt:variant>
      <vt:variant>
        <vt:i4>5</vt:i4>
      </vt:variant>
      <vt:variant>
        <vt:lpwstr>https://www.european-agency.org/resources/publications/supporting-inclusive-school-leadership-policy-review</vt:lpwstr>
      </vt:variant>
      <vt:variant>
        <vt:lpwstr/>
      </vt:variant>
      <vt:variant>
        <vt:i4>4128816</vt:i4>
      </vt:variant>
      <vt:variant>
        <vt:i4>111</vt:i4>
      </vt:variant>
      <vt:variant>
        <vt:i4>0</vt:i4>
      </vt:variant>
      <vt:variant>
        <vt:i4>5</vt:i4>
      </vt:variant>
      <vt:variant>
        <vt:lpwstr>https://www.european-agency.org/resources/publications/supporting-inclusive-school-leadership-literature-review</vt:lpwstr>
      </vt:variant>
      <vt:variant>
        <vt:lpwstr/>
      </vt:variant>
      <vt:variant>
        <vt:i4>4522075</vt:i4>
      </vt:variant>
      <vt:variant>
        <vt:i4>108</vt:i4>
      </vt:variant>
      <vt:variant>
        <vt:i4>0</vt:i4>
      </vt:variant>
      <vt:variant>
        <vt:i4>5</vt:i4>
      </vt:variant>
      <vt:variant>
        <vt:lpwstr>https://www.european-agency.org/projects/SISL</vt:lpwstr>
      </vt:variant>
      <vt:variant>
        <vt:lpwstr/>
      </vt:variant>
      <vt:variant>
        <vt:i4>196629</vt:i4>
      </vt:variant>
      <vt:variant>
        <vt:i4>105</vt:i4>
      </vt:variant>
      <vt:variant>
        <vt:i4>0</vt:i4>
      </vt:variant>
      <vt:variant>
        <vt:i4>5</vt:i4>
      </vt:variant>
      <vt:variant>
        <vt:lpwstr>https://www.european-agency.org/resources/publications/teacher-education-inclusion-profile-inclusive-teachers</vt:lpwstr>
      </vt:variant>
      <vt:variant>
        <vt:lpwstr/>
      </vt:variant>
      <vt:variant>
        <vt:i4>4063358</vt:i4>
      </vt:variant>
      <vt:variant>
        <vt:i4>102</vt:i4>
      </vt:variant>
      <vt:variant>
        <vt:i4>0</vt:i4>
      </vt:variant>
      <vt:variant>
        <vt:i4>5</vt:i4>
      </vt:variant>
      <vt:variant>
        <vt:lpwstr>https://www.european-agency.org/resources/publications/empowering-teachers-promote-inclusive-education</vt:lpwstr>
      </vt:variant>
      <vt:variant>
        <vt:lpwstr/>
      </vt:variant>
      <vt:variant>
        <vt:i4>393219</vt:i4>
      </vt:variant>
      <vt:variant>
        <vt:i4>99</vt:i4>
      </vt:variant>
      <vt:variant>
        <vt:i4>0</vt:i4>
      </vt:variant>
      <vt:variant>
        <vt:i4>5</vt:i4>
      </vt:variant>
      <vt:variant>
        <vt:lpwstr>http://www.inclusive-education-in-action.org/</vt:lpwstr>
      </vt:variant>
      <vt:variant>
        <vt:lpwstr/>
      </vt:variant>
      <vt:variant>
        <vt:i4>917572</vt:i4>
      </vt:variant>
      <vt:variant>
        <vt:i4>96</vt:i4>
      </vt:variant>
      <vt:variant>
        <vt:i4>0</vt:i4>
      </vt:variant>
      <vt:variant>
        <vt:i4>5</vt:i4>
      </vt:variant>
      <vt:variant>
        <vt:lpwstr>https://www.european-agency.org/resources/publications/TPL4I-final-summary-report</vt:lpwstr>
      </vt:variant>
      <vt:variant>
        <vt:lpwstr/>
      </vt:variant>
      <vt:variant>
        <vt:i4>1245262</vt:i4>
      </vt:variant>
      <vt:variant>
        <vt:i4>93</vt:i4>
      </vt:variant>
      <vt:variant>
        <vt:i4>0</vt:i4>
      </vt:variant>
      <vt:variant>
        <vt:i4>5</vt:i4>
      </vt:variant>
      <vt:variant>
        <vt:lpwstr>https://www.european-agency.org/resources/publications/TPL4I-methodology</vt:lpwstr>
      </vt:variant>
      <vt:variant>
        <vt:lpwstr/>
      </vt:variant>
      <vt:variant>
        <vt:i4>6881325</vt:i4>
      </vt:variant>
      <vt:variant>
        <vt:i4>90</vt:i4>
      </vt:variant>
      <vt:variant>
        <vt:i4>0</vt:i4>
      </vt:variant>
      <vt:variant>
        <vt:i4>5</vt:i4>
      </vt:variant>
      <vt:variant>
        <vt:lpwstr>https://www.european-agency.org/resources/publications/TPL4I-synthesis</vt:lpwstr>
      </vt:variant>
      <vt:variant>
        <vt:lpwstr/>
      </vt:variant>
      <vt:variant>
        <vt:i4>131073</vt:i4>
      </vt:variant>
      <vt:variant>
        <vt:i4>87</vt:i4>
      </vt:variant>
      <vt:variant>
        <vt:i4>0</vt:i4>
      </vt:variant>
      <vt:variant>
        <vt:i4>5</vt:i4>
      </vt:variant>
      <vt:variant>
        <vt:lpwstr>https://www.european-agency.org/resources/publications/TPL4I-policy-self-review-tool</vt:lpwstr>
      </vt:variant>
      <vt:variant>
        <vt:lpwstr/>
      </vt:variant>
      <vt:variant>
        <vt:i4>1638482</vt:i4>
      </vt:variant>
      <vt:variant>
        <vt:i4>84</vt:i4>
      </vt:variant>
      <vt:variant>
        <vt:i4>0</vt:i4>
      </vt:variant>
      <vt:variant>
        <vt:i4>5</vt:i4>
      </vt:variant>
      <vt:variant>
        <vt:lpwstr>https://www.european-agency.org/projects/TPL4I/policy-mapping</vt:lpwstr>
      </vt:variant>
      <vt:variant>
        <vt:lpwstr/>
      </vt:variant>
      <vt:variant>
        <vt:i4>2490416</vt:i4>
      </vt:variant>
      <vt:variant>
        <vt:i4>81</vt:i4>
      </vt:variant>
      <vt:variant>
        <vt:i4>0</vt:i4>
      </vt:variant>
      <vt:variant>
        <vt:i4>5</vt:i4>
      </vt:variant>
      <vt:variant>
        <vt:lpwstr>https://www.european-agency.org/resources/publications/TPL4I-literature-review</vt:lpwstr>
      </vt:variant>
      <vt:variant>
        <vt:lpwstr/>
      </vt:variant>
      <vt:variant>
        <vt:i4>6357094</vt:i4>
      </vt:variant>
      <vt:variant>
        <vt:i4>78</vt:i4>
      </vt:variant>
      <vt:variant>
        <vt:i4>0</vt:i4>
      </vt:variant>
      <vt:variant>
        <vt:i4>5</vt:i4>
      </vt:variant>
      <vt:variant>
        <vt:lpwstr>https://www.european-agency.org/projects/financing-policies-inclusive-education-systems</vt:lpwstr>
      </vt:variant>
      <vt:variant>
        <vt:lpwstr/>
      </vt:variant>
      <vt:variant>
        <vt:i4>2097191</vt:i4>
      </vt:variant>
      <vt:variant>
        <vt:i4>75</vt:i4>
      </vt:variant>
      <vt:variant>
        <vt:i4>0</vt:i4>
      </vt:variant>
      <vt:variant>
        <vt:i4>5</vt:i4>
      </vt:variant>
      <vt:variant>
        <vt:lpwstr>https://www.european-agency.org/resources/publications/financing-policies-inclusive-education-systems-policy-guidance-framework</vt:lpwstr>
      </vt:variant>
      <vt:variant>
        <vt:lpwstr/>
      </vt:variant>
      <vt:variant>
        <vt:i4>131073</vt:i4>
      </vt:variant>
      <vt:variant>
        <vt:i4>72</vt:i4>
      </vt:variant>
      <vt:variant>
        <vt:i4>0</vt:i4>
      </vt:variant>
      <vt:variant>
        <vt:i4>5</vt:i4>
      </vt:variant>
      <vt:variant>
        <vt:lpwstr>https://www.european-agency.org/resources/publications/TPL4I-policy-self-review-tool</vt:lpwstr>
      </vt:variant>
      <vt:variant>
        <vt:lpwstr/>
      </vt:variant>
      <vt:variant>
        <vt:i4>3342392</vt:i4>
      </vt:variant>
      <vt:variant>
        <vt:i4>69</vt:i4>
      </vt:variant>
      <vt:variant>
        <vt:i4>0</vt:i4>
      </vt:variant>
      <vt:variant>
        <vt:i4>5</vt:i4>
      </vt:variant>
      <vt:variant>
        <vt:lpwstr>https://www.european-agency.org/resources/publications/raising-achievement-all-learners-self-review</vt:lpwstr>
      </vt:variant>
      <vt:variant>
        <vt:lpwstr/>
      </vt:variant>
      <vt:variant>
        <vt:i4>1769473</vt:i4>
      </vt:variant>
      <vt:variant>
        <vt:i4>66</vt:i4>
      </vt:variant>
      <vt:variant>
        <vt:i4>0</vt:i4>
      </vt:variant>
      <vt:variant>
        <vt:i4>5</vt:i4>
      </vt:variant>
      <vt:variant>
        <vt:lpwstr>https://www.european-agency.org/resources/publications/financing-inclusive-education-mapping-country-systems-inclusive-education</vt:lpwstr>
      </vt:variant>
      <vt:variant>
        <vt:lpwstr/>
      </vt:variant>
      <vt:variant>
        <vt:i4>3276904</vt:i4>
      </vt:variant>
      <vt:variant>
        <vt:i4>63</vt:i4>
      </vt:variant>
      <vt:variant>
        <vt:i4>0</vt:i4>
      </vt:variant>
      <vt:variant>
        <vt:i4>5</vt:i4>
      </vt:variant>
      <vt:variant>
        <vt:lpwstr>https://www.european-agency.org/projects/financing-inclusive-education-mapping-country-systems-inclusive-education/country-diagrams</vt:lpwstr>
      </vt:variant>
      <vt:variant>
        <vt:lpwstr/>
      </vt:variant>
      <vt:variant>
        <vt:i4>3342454</vt:i4>
      </vt:variant>
      <vt:variant>
        <vt:i4>60</vt:i4>
      </vt:variant>
      <vt:variant>
        <vt:i4>0</vt:i4>
      </vt:variant>
      <vt:variant>
        <vt:i4>5</vt:i4>
      </vt:variant>
      <vt:variant>
        <vt:lpwstr>https://www.european-agency.org/projects/financing-inclusive-education-mapping-country-systems-inclusive-education</vt:lpwstr>
      </vt:variant>
      <vt:variant>
        <vt:lpwstr/>
      </vt:variant>
      <vt:variant>
        <vt:i4>7143549</vt:i4>
      </vt:variant>
      <vt:variant>
        <vt:i4>57</vt:i4>
      </vt:variant>
      <vt:variant>
        <vt:i4>0</vt:i4>
      </vt:variant>
      <vt:variant>
        <vt:i4>5</vt:i4>
      </vt:variant>
      <vt:variant>
        <vt:lpwstr>https://www.european-agency.org/resources/publications/financing-policies-inclusive-education-systems-flyer</vt:lpwstr>
      </vt:variant>
      <vt:variant>
        <vt:lpwstr/>
      </vt:variant>
      <vt:variant>
        <vt:i4>2097191</vt:i4>
      </vt:variant>
      <vt:variant>
        <vt:i4>54</vt:i4>
      </vt:variant>
      <vt:variant>
        <vt:i4>0</vt:i4>
      </vt:variant>
      <vt:variant>
        <vt:i4>5</vt:i4>
      </vt:variant>
      <vt:variant>
        <vt:lpwstr>https://www.european-agency.org/resources/publications/financing-policies-inclusive-education-systems-policy-guidance-framework</vt:lpwstr>
      </vt:variant>
      <vt:variant>
        <vt:lpwstr/>
      </vt:variant>
      <vt:variant>
        <vt:i4>7864432</vt:i4>
      </vt:variant>
      <vt:variant>
        <vt:i4>51</vt:i4>
      </vt:variant>
      <vt:variant>
        <vt:i4>0</vt:i4>
      </vt:variant>
      <vt:variant>
        <vt:i4>5</vt:i4>
      </vt:variant>
      <vt:variant>
        <vt:lpwstr>https://www.european-agency.org/resources/publications/financing-policies-inclusive-education-systems-final-summary-report</vt:lpwstr>
      </vt:variant>
      <vt:variant>
        <vt:lpwstr/>
      </vt:variant>
      <vt:variant>
        <vt:i4>1310811</vt:i4>
      </vt:variant>
      <vt:variant>
        <vt:i4>48</vt:i4>
      </vt:variant>
      <vt:variant>
        <vt:i4>0</vt:i4>
      </vt:variant>
      <vt:variant>
        <vt:i4>5</vt:i4>
      </vt:variant>
      <vt:variant>
        <vt:lpwstr>https://www.european-agency.org/resources/publications/fpies-synthesis-report</vt:lpwstr>
      </vt:variant>
      <vt:variant>
        <vt:lpwstr/>
      </vt:variant>
      <vt:variant>
        <vt:i4>5046283</vt:i4>
      </vt:variant>
      <vt:variant>
        <vt:i4>45</vt:i4>
      </vt:variant>
      <vt:variant>
        <vt:i4>0</vt:i4>
      </vt:variant>
      <vt:variant>
        <vt:i4>5</vt:i4>
      </vt:variant>
      <vt:variant>
        <vt:lpwstr>https://www.european-agency.org/projects/financing-policies-inclusive-education-systems/partners</vt:lpwstr>
      </vt:variant>
      <vt:variant>
        <vt:lpwstr/>
      </vt:variant>
      <vt:variant>
        <vt:i4>2883621</vt:i4>
      </vt:variant>
      <vt:variant>
        <vt:i4>42</vt:i4>
      </vt:variant>
      <vt:variant>
        <vt:i4>0</vt:i4>
      </vt:variant>
      <vt:variant>
        <vt:i4>5</vt:i4>
      </vt:variant>
      <vt:variant>
        <vt:lpwstr>https://www.inclusive-education-in-action.org/case-studies</vt:lpwstr>
      </vt:variant>
      <vt:variant>
        <vt:lpwstr/>
      </vt:variant>
      <vt:variant>
        <vt:i4>3407981</vt:i4>
      </vt:variant>
      <vt:variant>
        <vt:i4>39</vt:i4>
      </vt:variant>
      <vt:variant>
        <vt:i4>0</vt:i4>
      </vt:variant>
      <vt:variant>
        <vt:i4>5</vt:i4>
      </vt:variant>
      <vt:variant>
        <vt:lpwstr>https://www.inclusive-education-in-action.org/</vt:lpwstr>
      </vt:variant>
      <vt:variant>
        <vt:lpwstr/>
      </vt:variant>
      <vt:variant>
        <vt:i4>7929911</vt:i4>
      </vt:variant>
      <vt:variant>
        <vt:i4>36</vt:i4>
      </vt:variant>
      <vt:variant>
        <vt:i4>0</vt:i4>
      </vt:variant>
      <vt:variant>
        <vt:i4>5</vt:i4>
      </vt:variant>
      <vt:variant>
        <vt:lpwstr>https://www.european-agency.org/projects/organisation-provision-support-inclusive-education/increasing-inclusive-capability</vt:lpwstr>
      </vt:variant>
      <vt:variant>
        <vt:lpwstr/>
      </vt:variant>
      <vt:variant>
        <vt:i4>2621552</vt:i4>
      </vt:variant>
      <vt:variant>
        <vt:i4>33</vt:i4>
      </vt:variant>
      <vt:variant>
        <vt:i4>0</vt:i4>
      </vt:variant>
      <vt:variant>
        <vt:i4>5</vt:i4>
      </vt:variant>
      <vt:variant>
        <vt:lpwstr>https://www.european-agency.org/resources/publications/organisation-provision-support-inclusive-education-policy-brief</vt:lpwstr>
      </vt:variant>
      <vt:variant>
        <vt:lpwstr/>
      </vt:variant>
      <vt:variant>
        <vt:i4>196675</vt:i4>
      </vt:variant>
      <vt:variant>
        <vt:i4>30</vt:i4>
      </vt:variant>
      <vt:variant>
        <vt:i4>0</vt:i4>
      </vt:variant>
      <vt:variant>
        <vt:i4>5</vt:i4>
      </vt:variant>
      <vt:variant>
        <vt:lpwstr>https://www.european-agency.org/resources/publications/organisation-provision-support-inclusive-education-summary-report</vt:lpwstr>
      </vt:variant>
      <vt:variant>
        <vt:lpwstr/>
      </vt:variant>
      <vt:variant>
        <vt:i4>4128872</vt:i4>
      </vt:variant>
      <vt:variant>
        <vt:i4>27</vt:i4>
      </vt:variant>
      <vt:variant>
        <vt:i4>0</vt:i4>
      </vt:variant>
      <vt:variant>
        <vt:i4>5</vt:i4>
      </vt:variant>
      <vt:variant>
        <vt:lpwstr>https://www.european-agency.org/projects/organisation-provision-support-inclusive-education/country-visits-seminars</vt:lpwstr>
      </vt:variant>
      <vt:variant>
        <vt:lpwstr/>
      </vt:variant>
      <vt:variant>
        <vt:i4>2490488</vt:i4>
      </vt:variant>
      <vt:variant>
        <vt:i4>24</vt:i4>
      </vt:variant>
      <vt:variant>
        <vt:i4>0</vt:i4>
      </vt:variant>
      <vt:variant>
        <vt:i4>5</vt:i4>
      </vt:variant>
      <vt:variant>
        <vt:lpwstr>https://www.european-agency.org/resources/publications/organisation-provision-support-inclusive-education-literature-review</vt:lpwstr>
      </vt:variant>
      <vt:variant>
        <vt:lpwstr/>
      </vt:variant>
      <vt:variant>
        <vt:i4>4128812</vt:i4>
      </vt:variant>
      <vt:variant>
        <vt:i4>21</vt:i4>
      </vt:variant>
      <vt:variant>
        <vt:i4>0</vt:i4>
      </vt:variant>
      <vt:variant>
        <vt:i4>5</vt:i4>
      </vt:variant>
      <vt:variant>
        <vt:lpwstr>https://www.european-agency.org/projects/organisation-provision-support-inclusive-education</vt:lpwstr>
      </vt:variant>
      <vt:variant>
        <vt:lpwstr/>
      </vt:variant>
      <vt:variant>
        <vt:i4>6881341</vt:i4>
      </vt:variant>
      <vt:variant>
        <vt:i4>18</vt:i4>
      </vt:variant>
      <vt:variant>
        <vt:i4>0</vt:i4>
      </vt:variant>
      <vt:variant>
        <vt:i4>5</vt:i4>
      </vt:variant>
      <vt:variant>
        <vt:lpwstr>https://sdg4education2030.org/the-goal</vt:lpwstr>
      </vt:variant>
      <vt:variant>
        <vt:lpwstr/>
      </vt:variant>
      <vt:variant>
        <vt:i4>7209067</vt:i4>
      </vt:variant>
      <vt:variant>
        <vt:i4>15</vt:i4>
      </vt:variant>
      <vt:variant>
        <vt:i4>0</vt:i4>
      </vt:variant>
      <vt:variant>
        <vt:i4>5</vt:i4>
      </vt:variant>
      <vt:variant>
        <vt:lpwstr>https://en.unesco.org/gem-report/report/2020/inclusion</vt:lpwstr>
      </vt:variant>
      <vt:variant>
        <vt:lpwstr/>
      </vt:variant>
      <vt:variant>
        <vt:i4>4063343</vt:i4>
      </vt:variant>
      <vt:variant>
        <vt:i4>12</vt:i4>
      </vt:variant>
      <vt:variant>
        <vt:i4>0</vt:i4>
      </vt:variant>
      <vt:variant>
        <vt:i4>5</vt:i4>
      </vt:variant>
      <vt:variant>
        <vt:lpwstr>https://www.european-agency.org/resources/multimedia/agencys-vision-inclusive-education-systems</vt:lpwstr>
      </vt:variant>
      <vt:variant>
        <vt:lpwstr/>
      </vt:variant>
      <vt:variant>
        <vt:i4>2293880</vt:i4>
      </vt:variant>
      <vt:variant>
        <vt:i4>9</vt:i4>
      </vt:variant>
      <vt:variant>
        <vt:i4>0</vt:i4>
      </vt:variant>
      <vt:variant>
        <vt:i4>5</vt:i4>
      </vt:variant>
      <vt:variant>
        <vt:lpwstr>https://www.european-agency.org/resources/multimedia/infographic-inclusive-education-across-europe</vt:lpwstr>
      </vt:variant>
      <vt:variant>
        <vt:lpwstr/>
      </vt:variant>
      <vt:variant>
        <vt:i4>5767263</vt:i4>
      </vt:variant>
      <vt:variant>
        <vt:i4>6</vt:i4>
      </vt:variant>
      <vt:variant>
        <vt:i4>0</vt:i4>
      </vt:variant>
      <vt:variant>
        <vt:i4>5</vt:i4>
      </vt:variant>
      <vt:variant>
        <vt:lpwstr>https://www.european-agency.org/resources/publications/agency-position-inclusive-education-systems-flyer</vt:lpwstr>
      </vt:variant>
      <vt:variant>
        <vt:lpwstr/>
      </vt:variant>
      <vt:variant>
        <vt:i4>4456458</vt:i4>
      </vt:variant>
      <vt:variant>
        <vt:i4>3</vt:i4>
      </vt:variant>
      <vt:variant>
        <vt:i4>0</vt:i4>
      </vt:variant>
      <vt:variant>
        <vt:i4>5</vt:i4>
      </vt:variant>
      <vt:variant>
        <vt:lpwstr>http://www.european-agency.org/sites/default/files/about-us/Annex_to_the_Agency_Position_on_Inclusive_Education_Systems.pdf</vt:lpwstr>
      </vt:variant>
      <vt:variant>
        <vt:lpwstr/>
      </vt:variant>
      <vt:variant>
        <vt:i4>2424892</vt:i4>
      </vt:variant>
      <vt:variant>
        <vt:i4>0</vt:i4>
      </vt:variant>
      <vt:variant>
        <vt:i4>0</vt:i4>
      </vt:variant>
      <vt:variant>
        <vt:i4>5</vt:i4>
      </vt:variant>
      <vt:variant>
        <vt:lpwstr>https://www.european-agency.org/about-us/who-we-are/agency-position-inclusive-education-systems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Klára Somogyi</cp:lastModifiedBy>
  <cp:revision>37</cp:revision>
  <cp:lastPrinted>2009-05-05T01:34:00Z</cp:lastPrinted>
  <dcterms:created xsi:type="dcterms:W3CDTF">2021-07-23T01:41:00Z</dcterms:created>
  <dcterms:modified xsi:type="dcterms:W3CDTF">2022-10-28T10:58:00Z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0x01010076F1BDC85DEEC74C870A0853CD5588E8</vt:lpwstr>
  </property>
  <property fmtid="{D5CDD505-2E9C-101B-9397-08002B2CF9AE}" pid="3" name="MediaServiceImageTags">
    <vt:lpwstr/>
  </property>
</Properties>
</file>