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C02F8" w14:textId="77777777" w:rsidR="00782E16" w:rsidRPr="009E5766" w:rsidRDefault="00782E16" w:rsidP="00782E16">
      <w:pPr>
        <w:pStyle w:val="Agency-body-text"/>
        <w:jc w:val="center"/>
        <w:rPr>
          <w:b/>
          <w:bCs/>
          <w:sz w:val="48"/>
          <w:szCs w:val="48"/>
        </w:rPr>
      </w:pPr>
      <w:bookmarkStart w:id="0" w:name="_Toc105590460"/>
      <w:bookmarkStart w:id="1" w:name="_Toc242352480"/>
      <w:bookmarkStart w:id="2" w:name="_Toc96671627"/>
      <w:bookmarkStart w:id="3" w:name="_Toc96675672"/>
    </w:p>
    <w:p w14:paraId="367C54DD" w14:textId="77777777" w:rsidR="00782E16" w:rsidRPr="009E5766" w:rsidRDefault="00782E16" w:rsidP="00782E16">
      <w:pPr>
        <w:pStyle w:val="Agency-body-text"/>
        <w:jc w:val="center"/>
        <w:rPr>
          <w:b/>
          <w:bCs/>
          <w:sz w:val="48"/>
          <w:szCs w:val="48"/>
        </w:rPr>
      </w:pPr>
    </w:p>
    <w:p w14:paraId="0C4D7CC1" w14:textId="13B7C165" w:rsidR="00782E16" w:rsidRPr="009E5766" w:rsidRDefault="00782E16" w:rsidP="00782E16">
      <w:pPr>
        <w:pStyle w:val="Agency-body-text"/>
        <w:jc w:val="center"/>
        <w:rPr>
          <w:b/>
          <w:bCs/>
          <w:sz w:val="48"/>
          <w:szCs w:val="48"/>
        </w:rPr>
      </w:pPr>
    </w:p>
    <w:p w14:paraId="0B830BE6" w14:textId="77777777" w:rsidR="00782E16" w:rsidRPr="009E5766" w:rsidRDefault="00782E16" w:rsidP="00782E16">
      <w:pPr>
        <w:pStyle w:val="Agency-body-text"/>
        <w:jc w:val="center"/>
        <w:rPr>
          <w:b/>
          <w:bCs/>
          <w:sz w:val="48"/>
          <w:szCs w:val="48"/>
        </w:rPr>
      </w:pPr>
    </w:p>
    <w:p w14:paraId="2FE9F99D" w14:textId="7F10FEDF" w:rsidR="005A11B9" w:rsidRPr="00EF3ED8" w:rsidRDefault="005A11B9" w:rsidP="005A11B9">
      <w:pPr>
        <w:spacing w:before="120" w:after="120"/>
        <w:jc w:val="center"/>
        <w:rPr>
          <w:b/>
          <w:color w:val="000000" w:themeColor="text1"/>
          <w:sz w:val="36"/>
          <w:szCs w:val="36"/>
          <w:lang w:eastAsia="en-US"/>
        </w:rPr>
      </w:pPr>
      <w:r w:rsidRPr="00EF3ED8">
        <w:rPr>
          <w:b/>
          <w:color w:val="000000" w:themeColor="text1"/>
          <w:sz w:val="36"/>
          <w:szCs w:val="36"/>
          <w:lang w:eastAsia="en-US"/>
        </w:rPr>
        <w:t>WSPIERANIE PODNOSZENIA JAKOŚCI EDUKACJI WŁĄCZAJĄCEJ W POLSCE</w:t>
      </w:r>
    </w:p>
    <w:p w14:paraId="3E19B62E" w14:textId="77777777" w:rsidR="005A11B9" w:rsidRPr="005A11B9" w:rsidRDefault="005A11B9" w:rsidP="005A11B9">
      <w:pPr>
        <w:spacing w:before="120" w:after="120"/>
        <w:jc w:val="center"/>
        <w:rPr>
          <w:sz w:val="36"/>
          <w:szCs w:val="36"/>
        </w:rPr>
      </w:pPr>
      <w:r w:rsidRPr="005A11B9">
        <w:rPr>
          <w:b/>
          <w:color w:val="000000" w:themeColor="text1"/>
          <w:sz w:val="36"/>
          <w:szCs w:val="36"/>
          <w:lang w:eastAsia="en-US"/>
        </w:rPr>
        <w:t>(ETAP II)</w:t>
      </w:r>
    </w:p>
    <w:p w14:paraId="40F7CCEA" w14:textId="7B6EDAC0" w:rsidR="009E6E4D" w:rsidRPr="00EF3ED8" w:rsidRDefault="009E6E4D" w:rsidP="005A11B9">
      <w:pPr>
        <w:pStyle w:val="Agency-body-text"/>
        <w:jc w:val="center"/>
        <w:rPr>
          <w:rFonts w:ascii="Times New Roman" w:hAnsi="Times New Roman"/>
          <w:b/>
          <w:bCs/>
          <w:sz w:val="36"/>
          <w:szCs w:val="36"/>
        </w:rPr>
      </w:pPr>
    </w:p>
    <w:p w14:paraId="7D7D1501" w14:textId="56D23252" w:rsidR="00ED019D" w:rsidRPr="00EF3ED8" w:rsidRDefault="00ED019D" w:rsidP="005A11B9">
      <w:pPr>
        <w:pStyle w:val="Agency-body-text"/>
        <w:jc w:val="center"/>
        <w:rPr>
          <w:rFonts w:ascii="Times New Roman" w:hAnsi="Times New Roman"/>
          <w:b/>
          <w:bCs/>
          <w:sz w:val="36"/>
          <w:szCs w:val="36"/>
        </w:rPr>
      </w:pPr>
    </w:p>
    <w:p w14:paraId="58E15173" w14:textId="77777777" w:rsidR="00173091" w:rsidRPr="00EF3ED8" w:rsidRDefault="00173091" w:rsidP="005A11B9">
      <w:pPr>
        <w:pStyle w:val="Agency-body-text"/>
        <w:jc w:val="center"/>
        <w:rPr>
          <w:rFonts w:ascii="Times New Roman" w:hAnsi="Times New Roman"/>
          <w:b/>
          <w:bCs/>
          <w:sz w:val="36"/>
          <w:szCs w:val="36"/>
        </w:rPr>
      </w:pPr>
    </w:p>
    <w:p w14:paraId="09821028" w14:textId="4655A7A6" w:rsidR="002726DF" w:rsidRPr="00EF3ED8" w:rsidRDefault="005A11B9" w:rsidP="005A11B9">
      <w:pPr>
        <w:spacing w:before="600" w:after="120"/>
        <w:jc w:val="center"/>
        <w:rPr>
          <w:b/>
          <w:sz w:val="36"/>
          <w:szCs w:val="36"/>
        </w:rPr>
      </w:pPr>
      <w:r w:rsidRPr="00EF3ED8">
        <w:rPr>
          <w:b/>
          <w:sz w:val="36"/>
          <w:szCs w:val="36"/>
        </w:rPr>
        <w:t xml:space="preserve">Wersja ostateczna </w:t>
      </w:r>
      <w:r w:rsidRPr="00EF3ED8">
        <w:rPr>
          <w:b/>
          <w:bCs/>
          <w:sz w:val="36"/>
          <w:szCs w:val="36"/>
        </w:rPr>
        <w:t>założeń nowych regulacji prawnych w zakresie edukacji w Polsce</w:t>
      </w:r>
    </w:p>
    <w:p w14:paraId="677C368B" w14:textId="0EDD44B3" w:rsidR="00B87E32" w:rsidRPr="00EF3ED8" w:rsidRDefault="00B87E32" w:rsidP="005A11B9">
      <w:pPr>
        <w:pStyle w:val="Agency-body-text"/>
        <w:jc w:val="center"/>
        <w:rPr>
          <w:rFonts w:ascii="Times New Roman" w:hAnsi="Times New Roman"/>
          <w:sz w:val="36"/>
          <w:szCs w:val="36"/>
        </w:rPr>
      </w:pPr>
    </w:p>
    <w:p w14:paraId="59A145D1" w14:textId="4A32C6B1" w:rsidR="00F149F2" w:rsidRPr="00EF3ED8" w:rsidRDefault="00BF4B87" w:rsidP="005A11B9">
      <w:pPr>
        <w:pStyle w:val="Agency-body-text"/>
        <w:jc w:val="center"/>
        <w:rPr>
          <w:rFonts w:ascii="Times New Roman" w:hAnsi="Times New Roman"/>
          <w:b/>
          <w:bCs/>
          <w:sz w:val="36"/>
          <w:szCs w:val="36"/>
        </w:rPr>
      </w:pPr>
      <w:r w:rsidRPr="00EF3ED8">
        <w:rPr>
          <w:rFonts w:ascii="Times New Roman" w:hAnsi="Times New Roman"/>
          <w:b/>
          <w:bCs/>
          <w:sz w:val="36"/>
          <w:szCs w:val="36"/>
        </w:rPr>
        <w:t>(</w:t>
      </w:r>
      <w:r w:rsidR="005A11B9" w:rsidRPr="00EF3ED8">
        <w:rPr>
          <w:rFonts w:ascii="Times New Roman" w:hAnsi="Times New Roman"/>
          <w:b/>
          <w:bCs/>
          <w:sz w:val="36"/>
          <w:szCs w:val="36"/>
        </w:rPr>
        <w:t xml:space="preserve">Produkt </w:t>
      </w:r>
      <w:r w:rsidR="000B675A" w:rsidRPr="00EF3ED8">
        <w:rPr>
          <w:rFonts w:ascii="Times New Roman" w:hAnsi="Times New Roman"/>
          <w:b/>
          <w:bCs/>
          <w:sz w:val="36"/>
          <w:szCs w:val="36"/>
        </w:rPr>
        <w:t>6</w:t>
      </w:r>
      <w:r w:rsidR="005A11B9" w:rsidRPr="00EF3ED8">
        <w:rPr>
          <w:rFonts w:ascii="Times New Roman" w:hAnsi="Times New Roman"/>
          <w:b/>
          <w:bCs/>
          <w:sz w:val="36"/>
          <w:szCs w:val="36"/>
        </w:rPr>
        <w:t>.</w:t>
      </w:r>
      <w:r w:rsidRPr="00EF3ED8">
        <w:rPr>
          <w:rFonts w:ascii="Times New Roman" w:hAnsi="Times New Roman"/>
          <w:b/>
          <w:bCs/>
          <w:sz w:val="36"/>
          <w:szCs w:val="36"/>
        </w:rPr>
        <w:t>)</w:t>
      </w:r>
    </w:p>
    <w:p w14:paraId="74642EA5" w14:textId="11A7E4B3" w:rsidR="00F149F2" w:rsidRPr="00EF3ED8" w:rsidRDefault="00F149F2" w:rsidP="00B87E32">
      <w:pPr>
        <w:pStyle w:val="Agency-body-text"/>
        <w:rPr>
          <w:rFonts w:ascii="Times New Roman" w:hAnsi="Times New Roman"/>
          <w:sz w:val="36"/>
          <w:szCs w:val="36"/>
        </w:rPr>
      </w:pPr>
    </w:p>
    <w:p w14:paraId="70FD7194" w14:textId="45FB30B4" w:rsidR="00BF4B87" w:rsidRPr="00EF3ED8" w:rsidRDefault="00BF4B87" w:rsidP="00B87E32">
      <w:pPr>
        <w:pStyle w:val="Agency-body-text"/>
      </w:pPr>
    </w:p>
    <w:p w14:paraId="50883FA2" w14:textId="3917EC2E" w:rsidR="00BF4B87" w:rsidRPr="00EF3ED8" w:rsidRDefault="00BF4B87" w:rsidP="00B87E32">
      <w:pPr>
        <w:pStyle w:val="Agency-body-text"/>
      </w:pPr>
    </w:p>
    <w:p w14:paraId="0B7B09A2" w14:textId="0A2D3DD5" w:rsidR="0066512C" w:rsidRPr="00EF3ED8" w:rsidRDefault="0066512C" w:rsidP="00B87E32">
      <w:pPr>
        <w:pStyle w:val="Agency-body-text"/>
      </w:pPr>
    </w:p>
    <w:p w14:paraId="04A9CDC7" w14:textId="77777777" w:rsidR="0066512C" w:rsidRPr="00EF3ED8" w:rsidRDefault="0066512C" w:rsidP="00B87E32">
      <w:pPr>
        <w:pStyle w:val="Agency-body-text"/>
      </w:pPr>
    </w:p>
    <w:p w14:paraId="4D450A72" w14:textId="6CAE9A04" w:rsidR="00BF4B87" w:rsidRPr="00EF3ED8" w:rsidRDefault="00BF4B87" w:rsidP="00B87E32">
      <w:pPr>
        <w:pStyle w:val="Agency-body-text"/>
      </w:pPr>
    </w:p>
    <w:p w14:paraId="01578D28" w14:textId="77777777" w:rsidR="00BF4B87" w:rsidRPr="00EF3ED8" w:rsidRDefault="00BF4B87" w:rsidP="00B87E32">
      <w:pPr>
        <w:pStyle w:val="Agency-body-text"/>
      </w:pPr>
    </w:p>
    <w:p w14:paraId="2BBCEC7E" w14:textId="7A137042" w:rsidR="005A11B9" w:rsidRPr="00EF3ED8" w:rsidRDefault="0060107A" w:rsidP="00B87E32">
      <w:pPr>
        <w:pStyle w:val="Agency-body-text"/>
        <w:rPr>
          <w:b/>
          <w:bCs/>
        </w:rPr>
      </w:pPr>
      <w:r w:rsidRPr="00EF3ED8">
        <w:rPr>
          <w:b/>
          <w:bCs/>
        </w:rPr>
        <w:t>Niniejszy</w:t>
      </w:r>
      <w:r w:rsidR="005A11B9" w:rsidRPr="00EF3ED8">
        <w:rPr>
          <w:b/>
          <w:bCs/>
        </w:rPr>
        <w:t xml:space="preserve"> </w:t>
      </w:r>
      <w:r w:rsidRPr="00EF3ED8">
        <w:rPr>
          <w:b/>
          <w:bCs/>
        </w:rPr>
        <w:t>dokument</w:t>
      </w:r>
      <w:r w:rsidR="005A11B9" w:rsidRPr="00EF3ED8">
        <w:rPr>
          <w:b/>
          <w:bCs/>
        </w:rPr>
        <w:t xml:space="preserve"> został opracowany przy </w:t>
      </w:r>
      <w:r w:rsidRPr="00EF3ED8">
        <w:rPr>
          <w:b/>
          <w:bCs/>
        </w:rPr>
        <w:t>finansowym</w:t>
      </w:r>
      <w:r w:rsidR="005A11B9" w:rsidRPr="00EF3ED8">
        <w:rPr>
          <w:b/>
          <w:bCs/>
        </w:rPr>
        <w:t xml:space="preserve"> wsparciu Unii </w:t>
      </w:r>
      <w:r w:rsidRPr="00EF3ED8">
        <w:rPr>
          <w:b/>
          <w:bCs/>
        </w:rPr>
        <w:t>Europejskiej</w:t>
      </w:r>
      <w:r w:rsidR="005A11B9" w:rsidRPr="00EF3ED8">
        <w:rPr>
          <w:b/>
          <w:bCs/>
        </w:rPr>
        <w:t xml:space="preserve">. </w:t>
      </w:r>
    </w:p>
    <w:p w14:paraId="429BCC10" w14:textId="53008636" w:rsidR="00A770D7" w:rsidRPr="00EF3ED8" w:rsidRDefault="005A11B9" w:rsidP="00B87E32">
      <w:pPr>
        <w:pStyle w:val="Agency-body-text"/>
        <w:rPr>
          <w:b/>
        </w:rPr>
      </w:pPr>
      <w:r w:rsidRPr="00EF3ED8">
        <w:rPr>
          <w:b/>
        </w:rPr>
        <w:t>Poglądy wyrażone w niniejszym dokumencie nie mogą być w żaden sposób traktowane jako odzwierciedlenie oficjalnej opinii Unii Europejskiej.</w:t>
      </w:r>
    </w:p>
    <w:p w14:paraId="6DF04FA9" w14:textId="77777777" w:rsidR="00AC198A" w:rsidRPr="00EF3ED8" w:rsidRDefault="00AC198A" w:rsidP="00175D44">
      <w:pPr>
        <w:pStyle w:val="Agency-body-text"/>
      </w:pPr>
      <w:r w:rsidRPr="00EF3ED8">
        <w:br w:type="page"/>
      </w:r>
    </w:p>
    <w:p w14:paraId="372CFC08" w14:textId="20F742E3" w:rsidR="009E6E4D" w:rsidRPr="00EF3ED8" w:rsidRDefault="004E3BEF" w:rsidP="008859DE">
      <w:pPr>
        <w:pStyle w:val="Agency-body-text"/>
        <w:pBdr>
          <w:bottom w:val="single" w:sz="4" w:space="1" w:color="auto"/>
        </w:pBdr>
        <w:spacing w:before="400" w:after="400"/>
        <w:rPr>
          <w:b/>
          <w:caps/>
          <w:sz w:val="40"/>
          <w:szCs w:val="40"/>
        </w:rPr>
      </w:pPr>
      <w:r w:rsidRPr="00EF3ED8">
        <w:rPr>
          <w:b/>
          <w:caps/>
          <w:sz w:val="40"/>
          <w:szCs w:val="40"/>
        </w:rPr>
        <w:lastRenderedPageBreak/>
        <w:t>Spis treści</w:t>
      </w:r>
    </w:p>
    <w:p w14:paraId="35BD6D6C" w14:textId="78334E7A" w:rsidR="00502E9E" w:rsidRPr="00EF3ED8" w:rsidRDefault="006822AE">
      <w:pPr>
        <w:pStyle w:val="TOC2"/>
        <w:tabs>
          <w:tab w:val="right" w:leader="dot" w:pos="8827"/>
        </w:tabs>
        <w:rPr>
          <w:rFonts w:asciiTheme="minorHAnsi" w:eastAsiaTheme="minorEastAsia" w:hAnsiTheme="minorHAnsi" w:cstheme="minorBidi"/>
          <w:noProof/>
          <w:szCs w:val="24"/>
          <w:lang w:eastAsia="en-GB"/>
        </w:rPr>
      </w:pPr>
      <w:r w:rsidRPr="00EF3ED8">
        <w:rPr>
          <w:bCs/>
          <w:iCs/>
          <w:caps/>
          <w:szCs w:val="24"/>
        </w:rPr>
        <w:t>W</w:t>
      </w:r>
      <w:r w:rsidR="00502E9E" w:rsidRPr="00EF3ED8">
        <w:rPr>
          <w:b/>
          <w:i/>
          <w:caps/>
          <w:szCs w:val="24"/>
        </w:rPr>
        <w:fldChar w:fldCharType="begin"/>
      </w:r>
      <w:r w:rsidR="00502E9E" w:rsidRPr="00EF3ED8">
        <w:rPr>
          <w:b/>
          <w:i/>
          <w:caps/>
          <w:szCs w:val="24"/>
        </w:rPr>
        <w:instrText xml:space="preserve"> TOC \o "1-3" \u </w:instrText>
      </w:r>
      <w:r w:rsidR="00502E9E" w:rsidRPr="00EF3ED8">
        <w:rPr>
          <w:b/>
          <w:i/>
          <w:caps/>
          <w:szCs w:val="24"/>
        </w:rPr>
        <w:fldChar w:fldCharType="separate"/>
      </w:r>
      <w:r w:rsidRPr="00EF3ED8">
        <w:rPr>
          <w:noProof/>
        </w:rPr>
        <w:t>prowadzenie</w:t>
      </w:r>
      <w:r w:rsidR="00502E9E" w:rsidRPr="00EF3ED8">
        <w:rPr>
          <w:noProof/>
        </w:rPr>
        <w:tab/>
      </w:r>
      <w:r w:rsidR="00502E9E" w:rsidRPr="00EF3ED8">
        <w:rPr>
          <w:noProof/>
        </w:rPr>
        <w:fldChar w:fldCharType="begin"/>
      </w:r>
      <w:r w:rsidR="00502E9E" w:rsidRPr="00EF3ED8">
        <w:rPr>
          <w:noProof/>
        </w:rPr>
        <w:instrText xml:space="preserve"> PAGEREF _Toc71542591 \h </w:instrText>
      </w:r>
      <w:r w:rsidR="00502E9E" w:rsidRPr="00EF3ED8">
        <w:rPr>
          <w:noProof/>
        </w:rPr>
      </w:r>
      <w:r w:rsidR="00502E9E" w:rsidRPr="00EF3ED8">
        <w:rPr>
          <w:noProof/>
        </w:rPr>
        <w:fldChar w:fldCharType="separate"/>
      </w:r>
      <w:r w:rsidR="00502E9E" w:rsidRPr="00EF3ED8">
        <w:rPr>
          <w:noProof/>
        </w:rPr>
        <w:t>3</w:t>
      </w:r>
      <w:r w:rsidR="00502E9E" w:rsidRPr="00EF3ED8">
        <w:rPr>
          <w:noProof/>
        </w:rPr>
        <w:fldChar w:fldCharType="end"/>
      </w:r>
    </w:p>
    <w:p w14:paraId="3F1B9BB4" w14:textId="4C3C4FE4" w:rsidR="00502E9E" w:rsidRPr="00EF3ED8" w:rsidRDefault="006822AE">
      <w:pPr>
        <w:pStyle w:val="TOC2"/>
        <w:tabs>
          <w:tab w:val="right" w:leader="dot" w:pos="8827"/>
        </w:tabs>
        <w:rPr>
          <w:rFonts w:asciiTheme="minorHAnsi" w:eastAsiaTheme="minorEastAsia" w:hAnsiTheme="minorHAnsi" w:cstheme="minorBidi"/>
          <w:noProof/>
          <w:szCs w:val="24"/>
          <w:lang w:eastAsia="en-GB"/>
        </w:rPr>
      </w:pPr>
      <w:r w:rsidRPr="00EF3ED8">
        <w:rPr>
          <w:noProof/>
          <w:shd w:val="clear" w:color="auto" w:fill="FFFFFF"/>
          <w:lang w:eastAsia="en-GB"/>
        </w:rPr>
        <w:t>Osiem obszarów z</w:t>
      </w:r>
      <w:r w:rsidR="004E3BEF" w:rsidRPr="00EF3ED8">
        <w:rPr>
          <w:noProof/>
          <w:shd w:val="clear" w:color="auto" w:fill="FFFFFF"/>
          <w:lang w:eastAsia="en-GB"/>
        </w:rPr>
        <w:t>ałoże</w:t>
      </w:r>
      <w:r w:rsidRPr="00EF3ED8">
        <w:rPr>
          <w:noProof/>
          <w:shd w:val="clear" w:color="auto" w:fill="FFFFFF"/>
          <w:lang w:eastAsia="en-GB"/>
        </w:rPr>
        <w:t>ń</w:t>
      </w:r>
      <w:r w:rsidR="00502E9E" w:rsidRPr="00EF3ED8">
        <w:rPr>
          <w:noProof/>
        </w:rPr>
        <w:tab/>
      </w:r>
      <w:r w:rsidR="00502E9E" w:rsidRPr="00EF3ED8">
        <w:rPr>
          <w:noProof/>
        </w:rPr>
        <w:fldChar w:fldCharType="begin"/>
      </w:r>
      <w:r w:rsidR="00502E9E" w:rsidRPr="00EF3ED8">
        <w:rPr>
          <w:noProof/>
        </w:rPr>
        <w:instrText xml:space="preserve"> PAGEREF _Toc71542592 \h </w:instrText>
      </w:r>
      <w:r w:rsidR="00502E9E" w:rsidRPr="00EF3ED8">
        <w:rPr>
          <w:noProof/>
        </w:rPr>
      </w:r>
      <w:r w:rsidR="00502E9E" w:rsidRPr="00EF3ED8">
        <w:rPr>
          <w:noProof/>
        </w:rPr>
        <w:fldChar w:fldCharType="separate"/>
      </w:r>
      <w:r w:rsidR="00502E9E" w:rsidRPr="00EF3ED8">
        <w:rPr>
          <w:noProof/>
        </w:rPr>
        <w:t>3</w:t>
      </w:r>
      <w:r w:rsidR="00502E9E" w:rsidRPr="00EF3ED8">
        <w:rPr>
          <w:noProof/>
        </w:rPr>
        <w:fldChar w:fldCharType="end"/>
      </w:r>
    </w:p>
    <w:p w14:paraId="21312F92" w14:textId="041F735B" w:rsidR="00502E9E" w:rsidRPr="00EF3ED8" w:rsidRDefault="000C3315">
      <w:pPr>
        <w:pStyle w:val="TOC3"/>
        <w:tabs>
          <w:tab w:val="right" w:leader="dot" w:pos="8827"/>
        </w:tabs>
        <w:rPr>
          <w:rFonts w:asciiTheme="minorHAnsi" w:eastAsiaTheme="minorEastAsia" w:hAnsiTheme="minorHAnsi" w:cstheme="minorBidi"/>
          <w:i w:val="0"/>
          <w:noProof/>
          <w:szCs w:val="24"/>
          <w:lang w:eastAsia="en-GB"/>
        </w:rPr>
      </w:pPr>
      <w:r w:rsidRPr="00EF3ED8">
        <w:rPr>
          <w:noProof/>
        </w:rPr>
        <w:t xml:space="preserve">Założenie </w:t>
      </w:r>
      <w:r w:rsidR="00502E9E" w:rsidRPr="00EF3ED8">
        <w:rPr>
          <w:noProof/>
        </w:rPr>
        <w:t>1</w:t>
      </w:r>
      <w:r w:rsidR="00502E9E" w:rsidRPr="00EF3ED8">
        <w:rPr>
          <w:noProof/>
        </w:rPr>
        <w:tab/>
      </w:r>
      <w:r w:rsidR="00502E9E" w:rsidRPr="00EF3ED8">
        <w:rPr>
          <w:noProof/>
        </w:rPr>
        <w:fldChar w:fldCharType="begin"/>
      </w:r>
      <w:r w:rsidR="00502E9E" w:rsidRPr="00EF3ED8">
        <w:rPr>
          <w:noProof/>
        </w:rPr>
        <w:instrText xml:space="preserve"> PAGEREF _Toc71542593 \h </w:instrText>
      </w:r>
      <w:r w:rsidR="00502E9E" w:rsidRPr="00EF3ED8">
        <w:rPr>
          <w:noProof/>
        </w:rPr>
      </w:r>
      <w:r w:rsidR="00502E9E" w:rsidRPr="00EF3ED8">
        <w:rPr>
          <w:noProof/>
        </w:rPr>
        <w:fldChar w:fldCharType="separate"/>
      </w:r>
      <w:r w:rsidR="00502E9E" w:rsidRPr="00EF3ED8">
        <w:rPr>
          <w:noProof/>
        </w:rPr>
        <w:t>3</w:t>
      </w:r>
      <w:r w:rsidR="00502E9E" w:rsidRPr="00EF3ED8">
        <w:rPr>
          <w:noProof/>
        </w:rPr>
        <w:fldChar w:fldCharType="end"/>
      </w:r>
    </w:p>
    <w:p w14:paraId="76FAAC15" w14:textId="2029FDAC" w:rsidR="00502E9E" w:rsidRPr="00EF3ED8" w:rsidRDefault="004E3BEF">
      <w:pPr>
        <w:pStyle w:val="TOC3"/>
        <w:tabs>
          <w:tab w:val="right" w:leader="dot" w:pos="8827"/>
        </w:tabs>
        <w:rPr>
          <w:rFonts w:asciiTheme="minorHAnsi" w:eastAsiaTheme="minorEastAsia" w:hAnsiTheme="minorHAnsi" w:cstheme="minorBidi"/>
          <w:i w:val="0"/>
          <w:noProof/>
          <w:szCs w:val="24"/>
          <w:lang w:eastAsia="en-GB"/>
        </w:rPr>
      </w:pPr>
      <w:r w:rsidRPr="00EF3ED8">
        <w:rPr>
          <w:noProof/>
        </w:rPr>
        <w:t>Założenie</w:t>
      </w:r>
      <w:r w:rsidR="00502E9E" w:rsidRPr="00EF3ED8">
        <w:rPr>
          <w:noProof/>
        </w:rPr>
        <w:t xml:space="preserve"> 2</w:t>
      </w:r>
      <w:r w:rsidR="00502E9E" w:rsidRPr="00EF3ED8">
        <w:rPr>
          <w:noProof/>
        </w:rPr>
        <w:tab/>
      </w:r>
      <w:r w:rsidR="00502E9E" w:rsidRPr="00EF3ED8">
        <w:rPr>
          <w:noProof/>
        </w:rPr>
        <w:fldChar w:fldCharType="begin"/>
      </w:r>
      <w:r w:rsidR="00502E9E" w:rsidRPr="00EF3ED8">
        <w:rPr>
          <w:noProof/>
        </w:rPr>
        <w:instrText xml:space="preserve"> PAGEREF _Toc71542594 \h </w:instrText>
      </w:r>
      <w:r w:rsidR="00502E9E" w:rsidRPr="00EF3ED8">
        <w:rPr>
          <w:noProof/>
        </w:rPr>
      </w:r>
      <w:r w:rsidR="00502E9E" w:rsidRPr="00EF3ED8">
        <w:rPr>
          <w:noProof/>
        </w:rPr>
        <w:fldChar w:fldCharType="separate"/>
      </w:r>
      <w:r w:rsidR="00502E9E" w:rsidRPr="00EF3ED8">
        <w:rPr>
          <w:noProof/>
        </w:rPr>
        <w:t>5</w:t>
      </w:r>
      <w:r w:rsidR="00502E9E" w:rsidRPr="00EF3ED8">
        <w:rPr>
          <w:noProof/>
        </w:rPr>
        <w:fldChar w:fldCharType="end"/>
      </w:r>
    </w:p>
    <w:p w14:paraId="09A89CBD" w14:textId="3668B4EC" w:rsidR="00502E9E" w:rsidRPr="00EF3ED8" w:rsidRDefault="004E3BEF">
      <w:pPr>
        <w:pStyle w:val="TOC3"/>
        <w:tabs>
          <w:tab w:val="right" w:leader="dot" w:pos="8827"/>
        </w:tabs>
        <w:rPr>
          <w:rFonts w:asciiTheme="minorHAnsi" w:eastAsiaTheme="minorEastAsia" w:hAnsiTheme="minorHAnsi" w:cstheme="minorBidi"/>
          <w:i w:val="0"/>
          <w:noProof/>
          <w:szCs w:val="24"/>
          <w:lang w:eastAsia="en-GB"/>
        </w:rPr>
      </w:pPr>
      <w:r w:rsidRPr="00EF3ED8">
        <w:rPr>
          <w:noProof/>
        </w:rPr>
        <w:t>Założenie</w:t>
      </w:r>
      <w:r w:rsidR="00502E9E" w:rsidRPr="00EF3ED8">
        <w:rPr>
          <w:noProof/>
        </w:rPr>
        <w:t xml:space="preserve"> 3</w:t>
      </w:r>
      <w:r w:rsidR="00502E9E" w:rsidRPr="00EF3ED8">
        <w:rPr>
          <w:noProof/>
        </w:rPr>
        <w:tab/>
      </w:r>
      <w:r w:rsidR="00502E9E" w:rsidRPr="00EF3ED8">
        <w:rPr>
          <w:noProof/>
        </w:rPr>
        <w:fldChar w:fldCharType="begin"/>
      </w:r>
      <w:r w:rsidR="00502E9E" w:rsidRPr="00EF3ED8">
        <w:rPr>
          <w:noProof/>
        </w:rPr>
        <w:instrText xml:space="preserve"> PAGEREF _Toc71542595 \h </w:instrText>
      </w:r>
      <w:r w:rsidR="00502E9E" w:rsidRPr="00EF3ED8">
        <w:rPr>
          <w:noProof/>
        </w:rPr>
      </w:r>
      <w:r w:rsidR="00502E9E" w:rsidRPr="00EF3ED8">
        <w:rPr>
          <w:noProof/>
        </w:rPr>
        <w:fldChar w:fldCharType="separate"/>
      </w:r>
      <w:r w:rsidR="00502E9E" w:rsidRPr="00EF3ED8">
        <w:rPr>
          <w:noProof/>
        </w:rPr>
        <w:t>7</w:t>
      </w:r>
      <w:r w:rsidR="00502E9E" w:rsidRPr="00EF3ED8">
        <w:rPr>
          <w:noProof/>
        </w:rPr>
        <w:fldChar w:fldCharType="end"/>
      </w:r>
    </w:p>
    <w:p w14:paraId="2491C2EC" w14:textId="732C9C1E" w:rsidR="00502E9E" w:rsidRPr="00EF3ED8" w:rsidRDefault="004E3BEF">
      <w:pPr>
        <w:pStyle w:val="TOC3"/>
        <w:tabs>
          <w:tab w:val="right" w:leader="dot" w:pos="8827"/>
        </w:tabs>
        <w:rPr>
          <w:rFonts w:asciiTheme="minorHAnsi" w:eastAsiaTheme="minorEastAsia" w:hAnsiTheme="minorHAnsi" w:cstheme="minorBidi"/>
          <w:i w:val="0"/>
          <w:noProof/>
          <w:szCs w:val="24"/>
          <w:lang w:eastAsia="en-GB"/>
        </w:rPr>
      </w:pPr>
      <w:r w:rsidRPr="00EF3ED8">
        <w:rPr>
          <w:noProof/>
        </w:rPr>
        <w:t>Założenie</w:t>
      </w:r>
      <w:r w:rsidR="00502E9E" w:rsidRPr="00EF3ED8">
        <w:rPr>
          <w:noProof/>
        </w:rPr>
        <w:t xml:space="preserve"> 4</w:t>
      </w:r>
      <w:r w:rsidR="00502E9E" w:rsidRPr="00EF3ED8">
        <w:rPr>
          <w:noProof/>
        </w:rPr>
        <w:tab/>
      </w:r>
      <w:r w:rsidR="00502E9E" w:rsidRPr="00EF3ED8">
        <w:rPr>
          <w:noProof/>
        </w:rPr>
        <w:fldChar w:fldCharType="begin"/>
      </w:r>
      <w:r w:rsidR="00502E9E" w:rsidRPr="00EF3ED8">
        <w:rPr>
          <w:noProof/>
        </w:rPr>
        <w:instrText xml:space="preserve"> PAGEREF _Toc71542596 \h </w:instrText>
      </w:r>
      <w:r w:rsidR="00502E9E" w:rsidRPr="00EF3ED8">
        <w:rPr>
          <w:noProof/>
        </w:rPr>
      </w:r>
      <w:r w:rsidR="00502E9E" w:rsidRPr="00EF3ED8">
        <w:rPr>
          <w:noProof/>
        </w:rPr>
        <w:fldChar w:fldCharType="separate"/>
      </w:r>
      <w:r w:rsidR="00502E9E" w:rsidRPr="00EF3ED8">
        <w:rPr>
          <w:noProof/>
        </w:rPr>
        <w:t>9</w:t>
      </w:r>
      <w:r w:rsidR="00502E9E" w:rsidRPr="00EF3ED8">
        <w:rPr>
          <w:noProof/>
        </w:rPr>
        <w:fldChar w:fldCharType="end"/>
      </w:r>
    </w:p>
    <w:p w14:paraId="06EF9D6C" w14:textId="48648E31" w:rsidR="00502E9E" w:rsidRPr="00EF3ED8" w:rsidRDefault="004E3BEF">
      <w:pPr>
        <w:pStyle w:val="TOC3"/>
        <w:tabs>
          <w:tab w:val="right" w:leader="dot" w:pos="8827"/>
        </w:tabs>
        <w:rPr>
          <w:rFonts w:asciiTheme="minorHAnsi" w:eastAsiaTheme="minorEastAsia" w:hAnsiTheme="minorHAnsi" w:cstheme="minorBidi"/>
          <w:i w:val="0"/>
          <w:noProof/>
          <w:szCs w:val="24"/>
          <w:lang w:eastAsia="en-GB"/>
        </w:rPr>
      </w:pPr>
      <w:r w:rsidRPr="00EF3ED8">
        <w:rPr>
          <w:noProof/>
        </w:rPr>
        <w:t>Założenie</w:t>
      </w:r>
      <w:r w:rsidR="00502E9E" w:rsidRPr="00EF3ED8">
        <w:rPr>
          <w:noProof/>
        </w:rPr>
        <w:t xml:space="preserve"> 5</w:t>
      </w:r>
      <w:r w:rsidR="00502E9E" w:rsidRPr="00EF3ED8">
        <w:rPr>
          <w:noProof/>
        </w:rPr>
        <w:tab/>
      </w:r>
      <w:r w:rsidR="00502E9E" w:rsidRPr="00EF3ED8">
        <w:rPr>
          <w:noProof/>
        </w:rPr>
        <w:fldChar w:fldCharType="begin"/>
      </w:r>
      <w:r w:rsidR="00502E9E" w:rsidRPr="00EF3ED8">
        <w:rPr>
          <w:noProof/>
        </w:rPr>
        <w:instrText xml:space="preserve"> PAGEREF _Toc71542597 \h </w:instrText>
      </w:r>
      <w:r w:rsidR="00502E9E" w:rsidRPr="00EF3ED8">
        <w:rPr>
          <w:noProof/>
        </w:rPr>
      </w:r>
      <w:r w:rsidR="00502E9E" w:rsidRPr="00EF3ED8">
        <w:rPr>
          <w:noProof/>
        </w:rPr>
        <w:fldChar w:fldCharType="separate"/>
      </w:r>
      <w:r w:rsidR="00502E9E" w:rsidRPr="00EF3ED8">
        <w:rPr>
          <w:noProof/>
        </w:rPr>
        <w:t>11</w:t>
      </w:r>
      <w:r w:rsidR="00502E9E" w:rsidRPr="00EF3ED8">
        <w:rPr>
          <w:noProof/>
        </w:rPr>
        <w:fldChar w:fldCharType="end"/>
      </w:r>
    </w:p>
    <w:p w14:paraId="3176E8DD" w14:textId="77D54160" w:rsidR="00502E9E" w:rsidRPr="00EF3ED8" w:rsidRDefault="004E3BEF">
      <w:pPr>
        <w:pStyle w:val="TOC3"/>
        <w:tabs>
          <w:tab w:val="right" w:leader="dot" w:pos="8827"/>
        </w:tabs>
        <w:rPr>
          <w:rFonts w:asciiTheme="minorHAnsi" w:eastAsiaTheme="minorEastAsia" w:hAnsiTheme="minorHAnsi" w:cstheme="minorBidi"/>
          <w:i w:val="0"/>
          <w:noProof/>
          <w:szCs w:val="24"/>
          <w:lang w:eastAsia="en-GB"/>
        </w:rPr>
      </w:pPr>
      <w:r w:rsidRPr="00EF3ED8">
        <w:rPr>
          <w:noProof/>
        </w:rPr>
        <w:t>Założenie</w:t>
      </w:r>
      <w:r w:rsidR="00502E9E" w:rsidRPr="00EF3ED8">
        <w:rPr>
          <w:noProof/>
        </w:rPr>
        <w:t xml:space="preserve"> 6</w:t>
      </w:r>
      <w:r w:rsidR="00502E9E" w:rsidRPr="00EF3ED8">
        <w:rPr>
          <w:noProof/>
        </w:rPr>
        <w:tab/>
      </w:r>
      <w:r w:rsidR="00502E9E" w:rsidRPr="00EF3ED8">
        <w:rPr>
          <w:noProof/>
        </w:rPr>
        <w:fldChar w:fldCharType="begin"/>
      </w:r>
      <w:r w:rsidR="00502E9E" w:rsidRPr="00EF3ED8">
        <w:rPr>
          <w:noProof/>
        </w:rPr>
        <w:instrText xml:space="preserve"> PAGEREF _Toc71542598 \h </w:instrText>
      </w:r>
      <w:r w:rsidR="00502E9E" w:rsidRPr="00EF3ED8">
        <w:rPr>
          <w:noProof/>
        </w:rPr>
      </w:r>
      <w:r w:rsidR="00502E9E" w:rsidRPr="00EF3ED8">
        <w:rPr>
          <w:noProof/>
        </w:rPr>
        <w:fldChar w:fldCharType="separate"/>
      </w:r>
      <w:r w:rsidR="00502E9E" w:rsidRPr="00EF3ED8">
        <w:rPr>
          <w:noProof/>
        </w:rPr>
        <w:t>13</w:t>
      </w:r>
      <w:r w:rsidR="00502E9E" w:rsidRPr="00EF3ED8">
        <w:rPr>
          <w:noProof/>
        </w:rPr>
        <w:fldChar w:fldCharType="end"/>
      </w:r>
    </w:p>
    <w:p w14:paraId="39D03BB4" w14:textId="09084920" w:rsidR="00502E9E" w:rsidRPr="00EF3ED8" w:rsidRDefault="004E3BEF">
      <w:pPr>
        <w:pStyle w:val="TOC3"/>
        <w:tabs>
          <w:tab w:val="right" w:leader="dot" w:pos="8827"/>
        </w:tabs>
        <w:rPr>
          <w:rFonts w:asciiTheme="minorHAnsi" w:eastAsiaTheme="minorEastAsia" w:hAnsiTheme="minorHAnsi" w:cstheme="minorBidi"/>
          <w:i w:val="0"/>
          <w:noProof/>
          <w:szCs w:val="24"/>
          <w:lang w:eastAsia="en-GB"/>
        </w:rPr>
      </w:pPr>
      <w:r w:rsidRPr="00EF3ED8">
        <w:rPr>
          <w:noProof/>
        </w:rPr>
        <w:t>Założenie</w:t>
      </w:r>
      <w:r w:rsidR="00502E9E" w:rsidRPr="00EF3ED8">
        <w:rPr>
          <w:noProof/>
        </w:rPr>
        <w:t xml:space="preserve"> 7</w:t>
      </w:r>
      <w:r w:rsidR="00502E9E" w:rsidRPr="00EF3ED8">
        <w:rPr>
          <w:noProof/>
        </w:rPr>
        <w:tab/>
      </w:r>
      <w:r w:rsidR="00502E9E" w:rsidRPr="00EF3ED8">
        <w:rPr>
          <w:noProof/>
        </w:rPr>
        <w:fldChar w:fldCharType="begin"/>
      </w:r>
      <w:r w:rsidR="00502E9E" w:rsidRPr="00EF3ED8">
        <w:rPr>
          <w:noProof/>
        </w:rPr>
        <w:instrText xml:space="preserve"> PAGEREF _Toc71542599 \h </w:instrText>
      </w:r>
      <w:r w:rsidR="00502E9E" w:rsidRPr="00EF3ED8">
        <w:rPr>
          <w:noProof/>
        </w:rPr>
      </w:r>
      <w:r w:rsidR="00502E9E" w:rsidRPr="00EF3ED8">
        <w:rPr>
          <w:noProof/>
        </w:rPr>
        <w:fldChar w:fldCharType="separate"/>
      </w:r>
      <w:r w:rsidR="00502E9E" w:rsidRPr="00EF3ED8">
        <w:rPr>
          <w:noProof/>
        </w:rPr>
        <w:t>15</w:t>
      </w:r>
      <w:r w:rsidR="00502E9E" w:rsidRPr="00EF3ED8">
        <w:rPr>
          <w:noProof/>
        </w:rPr>
        <w:fldChar w:fldCharType="end"/>
      </w:r>
    </w:p>
    <w:p w14:paraId="048F44EE" w14:textId="361C4613" w:rsidR="00502E9E" w:rsidRPr="00EF3ED8" w:rsidRDefault="004E3BEF">
      <w:pPr>
        <w:pStyle w:val="TOC3"/>
        <w:tabs>
          <w:tab w:val="right" w:leader="dot" w:pos="8827"/>
        </w:tabs>
        <w:rPr>
          <w:rFonts w:asciiTheme="minorHAnsi" w:eastAsiaTheme="minorEastAsia" w:hAnsiTheme="minorHAnsi" w:cstheme="minorBidi"/>
          <w:i w:val="0"/>
          <w:noProof/>
          <w:szCs w:val="24"/>
          <w:lang w:eastAsia="en-GB"/>
        </w:rPr>
      </w:pPr>
      <w:r w:rsidRPr="00EF3ED8">
        <w:rPr>
          <w:noProof/>
        </w:rPr>
        <w:t>Założenie</w:t>
      </w:r>
      <w:r w:rsidR="00502E9E" w:rsidRPr="00EF3ED8">
        <w:rPr>
          <w:noProof/>
        </w:rPr>
        <w:t xml:space="preserve"> 8</w:t>
      </w:r>
      <w:r w:rsidR="00502E9E" w:rsidRPr="00EF3ED8">
        <w:rPr>
          <w:noProof/>
        </w:rPr>
        <w:tab/>
      </w:r>
      <w:r w:rsidR="00502E9E" w:rsidRPr="00EF3ED8">
        <w:rPr>
          <w:noProof/>
        </w:rPr>
        <w:fldChar w:fldCharType="begin"/>
      </w:r>
      <w:r w:rsidR="00502E9E" w:rsidRPr="00EF3ED8">
        <w:rPr>
          <w:noProof/>
        </w:rPr>
        <w:instrText xml:space="preserve"> PAGEREF _Toc71542600 \h </w:instrText>
      </w:r>
      <w:r w:rsidR="00502E9E" w:rsidRPr="00EF3ED8">
        <w:rPr>
          <w:noProof/>
        </w:rPr>
      </w:r>
      <w:r w:rsidR="00502E9E" w:rsidRPr="00EF3ED8">
        <w:rPr>
          <w:noProof/>
        </w:rPr>
        <w:fldChar w:fldCharType="separate"/>
      </w:r>
      <w:r w:rsidR="00502E9E" w:rsidRPr="00EF3ED8">
        <w:rPr>
          <w:noProof/>
        </w:rPr>
        <w:t>17</w:t>
      </w:r>
      <w:r w:rsidR="00502E9E" w:rsidRPr="00EF3ED8">
        <w:rPr>
          <w:noProof/>
        </w:rPr>
        <w:fldChar w:fldCharType="end"/>
      </w:r>
    </w:p>
    <w:p w14:paraId="07541E74" w14:textId="35F513BD" w:rsidR="00502E9E" w:rsidRPr="00EF3ED8" w:rsidRDefault="006822AE">
      <w:pPr>
        <w:pStyle w:val="TOC2"/>
        <w:tabs>
          <w:tab w:val="right" w:leader="dot" w:pos="8827"/>
        </w:tabs>
        <w:rPr>
          <w:rFonts w:asciiTheme="minorHAnsi" w:eastAsiaTheme="minorEastAsia" w:hAnsiTheme="minorHAnsi" w:cstheme="minorBidi"/>
          <w:noProof/>
          <w:szCs w:val="24"/>
          <w:lang w:eastAsia="en-GB"/>
        </w:rPr>
      </w:pPr>
      <w:r w:rsidRPr="00EF3ED8">
        <w:rPr>
          <w:noProof/>
        </w:rPr>
        <w:t>Wnioski</w:t>
      </w:r>
      <w:r w:rsidR="00502E9E" w:rsidRPr="00EF3ED8">
        <w:rPr>
          <w:noProof/>
        </w:rPr>
        <w:tab/>
      </w:r>
      <w:r w:rsidR="00502E9E" w:rsidRPr="00EF3ED8">
        <w:rPr>
          <w:noProof/>
        </w:rPr>
        <w:fldChar w:fldCharType="begin"/>
      </w:r>
      <w:r w:rsidR="00502E9E" w:rsidRPr="00EF3ED8">
        <w:rPr>
          <w:noProof/>
        </w:rPr>
        <w:instrText xml:space="preserve"> PAGEREF _Toc71542601 \h </w:instrText>
      </w:r>
      <w:r w:rsidR="00502E9E" w:rsidRPr="00EF3ED8">
        <w:rPr>
          <w:noProof/>
        </w:rPr>
      </w:r>
      <w:r w:rsidR="00502E9E" w:rsidRPr="00EF3ED8">
        <w:rPr>
          <w:noProof/>
        </w:rPr>
        <w:fldChar w:fldCharType="separate"/>
      </w:r>
      <w:r w:rsidR="00502E9E" w:rsidRPr="00EF3ED8">
        <w:rPr>
          <w:noProof/>
        </w:rPr>
        <w:t>20</w:t>
      </w:r>
      <w:r w:rsidR="00502E9E" w:rsidRPr="00EF3ED8">
        <w:rPr>
          <w:noProof/>
        </w:rPr>
        <w:fldChar w:fldCharType="end"/>
      </w:r>
    </w:p>
    <w:p w14:paraId="41210043" w14:textId="3ED74A3E" w:rsidR="00502E9E" w:rsidRPr="00EF3ED8" w:rsidRDefault="004E3BEF">
      <w:pPr>
        <w:pStyle w:val="TOC2"/>
        <w:tabs>
          <w:tab w:val="right" w:leader="dot" w:pos="8827"/>
        </w:tabs>
        <w:rPr>
          <w:rFonts w:asciiTheme="minorHAnsi" w:eastAsiaTheme="minorEastAsia" w:hAnsiTheme="minorHAnsi" w:cstheme="minorBidi"/>
          <w:noProof/>
          <w:szCs w:val="24"/>
          <w:lang w:eastAsia="en-GB"/>
        </w:rPr>
      </w:pPr>
      <w:r w:rsidRPr="00EF3ED8">
        <w:rPr>
          <w:noProof/>
        </w:rPr>
        <w:t>Bibliografia</w:t>
      </w:r>
      <w:r w:rsidR="00502E9E" w:rsidRPr="00EF3ED8">
        <w:rPr>
          <w:noProof/>
        </w:rPr>
        <w:tab/>
      </w:r>
      <w:r w:rsidR="00502E9E" w:rsidRPr="00EF3ED8">
        <w:rPr>
          <w:noProof/>
        </w:rPr>
        <w:fldChar w:fldCharType="begin"/>
      </w:r>
      <w:r w:rsidR="00502E9E" w:rsidRPr="00EF3ED8">
        <w:rPr>
          <w:noProof/>
        </w:rPr>
        <w:instrText xml:space="preserve"> PAGEREF _Toc71542602 \h </w:instrText>
      </w:r>
      <w:r w:rsidR="00502E9E" w:rsidRPr="00EF3ED8">
        <w:rPr>
          <w:noProof/>
        </w:rPr>
      </w:r>
      <w:r w:rsidR="00502E9E" w:rsidRPr="00EF3ED8">
        <w:rPr>
          <w:noProof/>
        </w:rPr>
        <w:fldChar w:fldCharType="separate"/>
      </w:r>
      <w:r w:rsidR="00502E9E" w:rsidRPr="00EF3ED8">
        <w:rPr>
          <w:noProof/>
        </w:rPr>
        <w:t>21</w:t>
      </w:r>
      <w:r w:rsidR="00502E9E" w:rsidRPr="00EF3ED8">
        <w:rPr>
          <w:noProof/>
        </w:rPr>
        <w:fldChar w:fldCharType="end"/>
      </w:r>
    </w:p>
    <w:p w14:paraId="216041FD" w14:textId="5183E080" w:rsidR="00175D44" w:rsidRPr="00EF3ED8" w:rsidRDefault="00502E9E" w:rsidP="00742CEF">
      <w:pPr>
        <w:pStyle w:val="Agency-body-text"/>
        <w:rPr>
          <w:b/>
          <w:i/>
          <w:caps/>
          <w:color w:val="auto"/>
          <w:szCs w:val="24"/>
        </w:rPr>
      </w:pPr>
      <w:r w:rsidRPr="00EF3ED8">
        <w:rPr>
          <w:b/>
          <w:i/>
          <w:caps/>
          <w:color w:val="auto"/>
          <w:szCs w:val="24"/>
        </w:rPr>
        <w:fldChar w:fldCharType="end"/>
      </w:r>
    </w:p>
    <w:p w14:paraId="603A091E" w14:textId="2572B9CF" w:rsidR="001F33B6" w:rsidRPr="00EF3ED8" w:rsidRDefault="001F33B6" w:rsidP="00586D41">
      <w:pPr>
        <w:jc w:val="both"/>
        <w:rPr>
          <w:b/>
          <w:i/>
          <w:caps/>
        </w:rPr>
      </w:pPr>
      <w:r w:rsidRPr="00EF3ED8">
        <w:rPr>
          <w:b/>
          <w:i/>
          <w:caps/>
        </w:rPr>
        <w:br w:type="page"/>
      </w:r>
    </w:p>
    <w:p w14:paraId="4F8185FF" w14:textId="00BD3F34" w:rsidR="002726DF" w:rsidRPr="00EF3ED8" w:rsidRDefault="00B9773A" w:rsidP="00586D41">
      <w:pPr>
        <w:pStyle w:val="Agency-heading-1"/>
        <w:jc w:val="both"/>
      </w:pPr>
      <w:bookmarkStart w:id="4" w:name="_Toc65848382"/>
      <w:bookmarkStart w:id="5" w:name="_Toc71542591"/>
      <w:r w:rsidRPr="00EF3ED8">
        <w:lastRenderedPageBreak/>
        <w:t>Wprowadzenie</w:t>
      </w:r>
      <w:bookmarkEnd w:id="4"/>
      <w:bookmarkEnd w:id="5"/>
      <w:r w:rsidR="002726DF" w:rsidRPr="00EF3ED8">
        <w:t xml:space="preserve"> </w:t>
      </w:r>
    </w:p>
    <w:p w14:paraId="027DF8B9" w14:textId="70D7311B" w:rsidR="00542535" w:rsidRPr="00EF3ED8" w:rsidRDefault="00542535" w:rsidP="00586D41">
      <w:pPr>
        <w:pStyle w:val="Agency-body-text"/>
        <w:jc w:val="both"/>
        <w:rPr>
          <w:szCs w:val="24"/>
          <w:lang w:eastAsia="en-GB"/>
        </w:rPr>
      </w:pPr>
      <w:r w:rsidRPr="00EF3ED8">
        <w:t>Celem etapu II działań podejmowanych w Polsce jest wspieranie procesu opracowania nowych regulacji prawnych na rzecz podnoszenia jakości edukacji wszystkich osób uczących się.</w:t>
      </w:r>
      <w:r w:rsidRPr="00EF3ED8">
        <w:rPr>
          <w:szCs w:val="24"/>
          <w:lang w:eastAsia="en-GB"/>
        </w:rPr>
        <w:t xml:space="preserve"> Niniejsze założenia stanowią ramy koncepcyjne nowej legislacji oraz wskazują definicje operacyjne i kluczowe</w:t>
      </w:r>
      <w:r w:rsidRPr="00EF3ED8" w:rsidDel="00F81954">
        <w:rPr>
          <w:szCs w:val="24"/>
          <w:lang w:eastAsia="en-GB"/>
        </w:rPr>
        <w:t xml:space="preserve"> </w:t>
      </w:r>
      <w:r w:rsidRPr="00EF3ED8">
        <w:rPr>
          <w:szCs w:val="24"/>
          <w:lang w:eastAsia="en-GB"/>
        </w:rPr>
        <w:t>koncepcje, na których będą opierać się nowe przepisy prawa. Będą one również wykorzystane do zdefiniowania wizji oraz celów ogólnych i szczegółowych prac zmierzających do wdrożenia nowej legislacji.</w:t>
      </w:r>
    </w:p>
    <w:p w14:paraId="019D8789" w14:textId="5D041F77" w:rsidR="00A90DF3" w:rsidRPr="00EF3ED8" w:rsidRDefault="000C3315" w:rsidP="00586D41">
      <w:pPr>
        <w:pStyle w:val="Agency-body-text"/>
        <w:jc w:val="both"/>
      </w:pPr>
      <w:r w:rsidRPr="00EF3ED8">
        <w:t xml:space="preserve">W wyniku realizacji etapu I </w:t>
      </w:r>
      <w:r w:rsidR="00DB6FF6">
        <w:t>P</w:t>
      </w:r>
      <w:r w:rsidRPr="00EF3ED8">
        <w:t>rogramu Wspierania Reform Strukturalnych (PWRS) pn.</w:t>
      </w:r>
      <w:r w:rsidR="00DB6FF6">
        <w:t>:</w:t>
      </w:r>
      <w:r w:rsidRPr="00EF3ED8">
        <w:t xml:space="preserve"> </w:t>
      </w:r>
      <w:r w:rsidRPr="00EF3ED8">
        <w:rPr>
          <w:i/>
          <w:iCs/>
        </w:rPr>
        <w:t xml:space="preserve">Wspieranie podnoszenia jakości edukacji włączającej w Polsce </w:t>
      </w:r>
      <w:r w:rsidRPr="00EF3ED8">
        <w:t>w latach</w:t>
      </w:r>
      <w:r w:rsidRPr="00EF3ED8">
        <w:rPr>
          <w:i/>
          <w:iCs/>
        </w:rPr>
        <w:t xml:space="preserve"> </w:t>
      </w:r>
      <w:r w:rsidR="00AE413B" w:rsidRPr="00EF3ED8">
        <w:t>2018-2019</w:t>
      </w:r>
      <w:r w:rsidR="00DB1B8C" w:rsidRPr="00EF3ED8">
        <w:t xml:space="preserve">, </w:t>
      </w:r>
      <w:r w:rsidRPr="00EF3ED8">
        <w:t>opracowano siedem obszarów założeń programu.</w:t>
      </w:r>
      <w:r w:rsidR="00542535" w:rsidRPr="00EF3ED8">
        <w:t xml:space="preserve"> Przeprowadzono </w:t>
      </w:r>
      <w:r w:rsidR="00EF3ED8" w:rsidRPr="00EF3ED8">
        <w:t>konsultacje</w:t>
      </w:r>
      <w:r w:rsidR="00542535" w:rsidRPr="00EF3ED8">
        <w:t xml:space="preserve"> z różnorodnymi interesariuszami w czasie trzech spotkań, które odbyły się w lutym 20</w:t>
      </w:r>
      <w:r w:rsidR="00EF13DC">
        <w:t>2</w:t>
      </w:r>
      <w:r w:rsidR="00542535" w:rsidRPr="00EF3ED8">
        <w:t xml:space="preserve">0 r., w rezultacie których dodano ósmy obszar założeń.  Ponieważ </w:t>
      </w:r>
      <w:r w:rsidR="00DB6FF6">
        <w:t xml:space="preserve">organizacja </w:t>
      </w:r>
      <w:r w:rsidR="00542535" w:rsidRPr="00EF3ED8">
        <w:t>kolejn</w:t>
      </w:r>
      <w:r w:rsidR="00DB6FF6">
        <w:t>ych</w:t>
      </w:r>
      <w:r w:rsidR="00542535" w:rsidRPr="00EF3ED8">
        <w:t xml:space="preserve"> spotka</w:t>
      </w:r>
      <w:r w:rsidR="00DB6FF6">
        <w:t>ń</w:t>
      </w:r>
      <w:r w:rsidR="00542535" w:rsidRPr="00EF3ED8">
        <w:t xml:space="preserve"> stacjonarn</w:t>
      </w:r>
      <w:r w:rsidR="00DB6FF6">
        <w:t>ych</w:t>
      </w:r>
      <w:r w:rsidR="00542535" w:rsidRPr="00EF3ED8">
        <w:t xml:space="preserve"> nie był</w:t>
      </w:r>
      <w:r w:rsidR="004A1966">
        <w:t>a</w:t>
      </w:r>
      <w:r w:rsidR="00542535" w:rsidRPr="00EF3ED8">
        <w:t xml:space="preserve"> możliw</w:t>
      </w:r>
      <w:r w:rsidR="004A1966">
        <w:t>a</w:t>
      </w:r>
      <w:r w:rsidR="00542535" w:rsidRPr="00EF3ED8">
        <w:t xml:space="preserve"> podczas pandemii COVID-19, dalsze konsultacje przeprowadzono podczas 9 spotkań on-line oraz w formie internetowej ankiety. Pełny raport ze wszystkich działań konsultacyjnych znajduje się w </w:t>
      </w:r>
      <w:r w:rsidR="00542535" w:rsidRPr="00DB6FF6">
        <w:rPr>
          <w:i/>
          <w:iCs/>
        </w:rPr>
        <w:t>Produkcie 5</w:t>
      </w:r>
      <w:r w:rsidR="00542535" w:rsidRPr="00EF3ED8">
        <w:t xml:space="preserve">. </w:t>
      </w:r>
      <w:r w:rsidR="00DB6FF6">
        <w:t>d</w:t>
      </w:r>
      <w:r w:rsidR="00542535" w:rsidRPr="00EF3ED8">
        <w:t>otyczącym realizacji II etapu programu PWRS (dostępny na życzenie w MEiN).</w:t>
      </w:r>
    </w:p>
    <w:p w14:paraId="40C2BA79" w14:textId="77777777" w:rsidR="00DB6FF6" w:rsidRDefault="00DB6FF6" w:rsidP="00586D41">
      <w:pPr>
        <w:pStyle w:val="Agency-body-text"/>
        <w:jc w:val="both"/>
        <w:rPr>
          <w:i/>
          <w:iCs/>
        </w:rPr>
      </w:pPr>
    </w:p>
    <w:p w14:paraId="00DF78FA" w14:textId="4190DBD6" w:rsidR="00DB1B8C" w:rsidRPr="00EF3ED8" w:rsidRDefault="004D2607" w:rsidP="00586D41">
      <w:pPr>
        <w:pStyle w:val="Agency-body-text"/>
        <w:jc w:val="both"/>
        <w:rPr>
          <w:i/>
          <w:iCs/>
        </w:rPr>
      </w:pPr>
      <w:r w:rsidRPr="00EF3ED8">
        <w:rPr>
          <w:i/>
          <w:iCs/>
        </w:rPr>
        <w:t xml:space="preserve">Niniejszy raport jest skróconą wersją Produktu </w:t>
      </w:r>
      <w:r w:rsidR="00903665">
        <w:rPr>
          <w:i/>
          <w:iCs/>
        </w:rPr>
        <w:t>6</w:t>
      </w:r>
      <w:r w:rsidR="004B653B">
        <w:rPr>
          <w:i/>
          <w:iCs/>
        </w:rPr>
        <w:t>.</w:t>
      </w:r>
      <w:r w:rsidR="00903665">
        <w:rPr>
          <w:i/>
          <w:iCs/>
        </w:rPr>
        <w:t xml:space="preserve"> </w:t>
      </w:r>
      <w:r w:rsidR="00EF13DC">
        <w:rPr>
          <w:i/>
          <w:iCs/>
        </w:rPr>
        <w:t xml:space="preserve">opracowanego w ramach </w:t>
      </w:r>
      <w:r w:rsidRPr="00EF3ED8">
        <w:rPr>
          <w:i/>
          <w:iCs/>
        </w:rPr>
        <w:t>działa</w:t>
      </w:r>
      <w:r w:rsidR="00C316C1">
        <w:rPr>
          <w:i/>
          <w:iCs/>
        </w:rPr>
        <w:t xml:space="preserve">ń podejmowanych w </w:t>
      </w:r>
      <w:r w:rsidR="00EF13DC">
        <w:rPr>
          <w:i/>
          <w:iCs/>
        </w:rPr>
        <w:t xml:space="preserve">projekcie </w:t>
      </w:r>
      <w:r w:rsidRPr="00EF3ED8">
        <w:rPr>
          <w:i/>
          <w:iCs/>
        </w:rPr>
        <w:t>PWRS. Pełna wersja (</w:t>
      </w:r>
      <w:r w:rsidR="00EF3ED8" w:rsidRPr="00EF3ED8">
        <w:rPr>
          <w:i/>
          <w:iCs/>
        </w:rPr>
        <w:t>dostępna</w:t>
      </w:r>
      <w:r w:rsidRPr="00EF3ED8">
        <w:rPr>
          <w:i/>
          <w:iCs/>
        </w:rPr>
        <w:t xml:space="preserve"> jedynie w języku angielskim) zawiera również załącznik z materiałami pomocniczymi oraz glosariusz terminów i pojęć.</w:t>
      </w:r>
    </w:p>
    <w:p w14:paraId="56127FA1" w14:textId="67DBBF1B" w:rsidR="00336F22" w:rsidRPr="00EF3ED8" w:rsidRDefault="004D2607" w:rsidP="00586D41">
      <w:pPr>
        <w:pStyle w:val="Agency-heading-1"/>
        <w:jc w:val="both"/>
      </w:pPr>
      <w:bookmarkStart w:id="6" w:name="_Toc30675284"/>
      <w:bookmarkStart w:id="7" w:name="_Toc34991073"/>
      <w:bookmarkStart w:id="8" w:name="_Toc71542592"/>
      <w:r w:rsidRPr="00EF3ED8">
        <w:rPr>
          <w:shd w:val="clear" w:color="auto" w:fill="FFFFFF"/>
          <w:lang w:eastAsia="en-GB"/>
        </w:rPr>
        <w:t>osiem obszarów założeń</w:t>
      </w:r>
      <w:bookmarkEnd w:id="6"/>
      <w:bookmarkEnd w:id="7"/>
      <w:bookmarkEnd w:id="8"/>
    </w:p>
    <w:p w14:paraId="7B08EB2A" w14:textId="78178868" w:rsidR="002064F1" w:rsidRPr="00EF3ED8" w:rsidRDefault="004D2607" w:rsidP="00586D41">
      <w:pPr>
        <w:pStyle w:val="Agency-body-text"/>
        <w:jc w:val="both"/>
      </w:pPr>
      <w:r w:rsidRPr="00EF3ED8">
        <w:t xml:space="preserve">Proponuje się osiem obszarów </w:t>
      </w:r>
      <w:r w:rsidRPr="00DB6FF6">
        <w:rPr>
          <w:i/>
          <w:iCs/>
        </w:rPr>
        <w:t>Założeń</w:t>
      </w:r>
      <w:r w:rsidRPr="00EF3ED8">
        <w:t xml:space="preserve">, które mają stanowić podstawę nowego </w:t>
      </w:r>
      <w:r w:rsidR="00903665">
        <w:t>prawo</w:t>
      </w:r>
      <w:r w:rsidR="00903665" w:rsidRPr="00EF3ED8">
        <w:t xml:space="preserve">dawstwa </w:t>
      </w:r>
      <w:r w:rsidRPr="00EF3ED8">
        <w:t>oświatowego w Polsce. Po tytule każdego</w:t>
      </w:r>
      <w:r w:rsidR="00EF3ED8">
        <w:t xml:space="preserve"> </w:t>
      </w:r>
      <w:r w:rsidRPr="00EF3ED8">
        <w:t xml:space="preserve">podrozdziału zamieszczono tekst objaśniający </w:t>
      </w:r>
      <w:r w:rsidR="00903665">
        <w:t>oraz</w:t>
      </w:r>
      <w:r w:rsidRPr="00EF3ED8">
        <w:t xml:space="preserve"> uzasadnienie mające na celu wyjaśnienie przedmiotu i celu danego założenia. Następnie przedstawiono przegląd kluczowych kwestii, które należy uwzględnić w nowej, proponowanej legislacji.</w:t>
      </w:r>
      <w:r w:rsidR="00336F22" w:rsidRPr="00EF3ED8">
        <w:t xml:space="preserve"> </w:t>
      </w:r>
      <w:r w:rsidRPr="00EF3ED8">
        <w:t xml:space="preserve">Wszystkie przywołania literatury przedmiotu są zawarte w </w:t>
      </w:r>
      <w:hyperlink w:anchor="References" w:history="1">
        <w:r w:rsidRPr="00EF3ED8">
          <w:rPr>
            <w:rStyle w:val="Hyperlink"/>
          </w:rPr>
          <w:t>bibliografii</w:t>
        </w:r>
      </w:hyperlink>
      <w:r w:rsidR="00336F22" w:rsidRPr="00EF3ED8">
        <w:t xml:space="preserve"> </w:t>
      </w:r>
      <w:r w:rsidRPr="00EF3ED8">
        <w:t xml:space="preserve">zamieszczonej na końcu </w:t>
      </w:r>
      <w:r w:rsidR="00EF3ED8" w:rsidRPr="00EF3ED8">
        <w:t>niniejszego</w:t>
      </w:r>
      <w:r w:rsidRPr="00EF3ED8">
        <w:t xml:space="preserve"> dokumentu. </w:t>
      </w:r>
      <w:r w:rsidR="00336F22" w:rsidRPr="00EF3ED8">
        <w:t xml:space="preserve"> </w:t>
      </w:r>
    </w:p>
    <w:p w14:paraId="52F60049" w14:textId="3496F393" w:rsidR="002064F1" w:rsidRPr="00EF3ED8" w:rsidRDefault="004E3BEF" w:rsidP="00586D41">
      <w:pPr>
        <w:pStyle w:val="Agency-heading-2"/>
        <w:jc w:val="both"/>
      </w:pPr>
      <w:bookmarkStart w:id="9" w:name="_Toc71542593"/>
      <w:r w:rsidRPr="00EF3ED8">
        <w:t>Założenie</w:t>
      </w:r>
      <w:r w:rsidR="002064F1" w:rsidRPr="00EF3ED8">
        <w:t xml:space="preserve"> 1</w:t>
      </w:r>
      <w:bookmarkEnd w:id="9"/>
      <w:r w:rsidR="000E100F">
        <w:t>.</w:t>
      </w:r>
      <w:r w:rsidR="002064F1" w:rsidRPr="00EF3ED8">
        <w:t xml:space="preserve"> </w:t>
      </w:r>
    </w:p>
    <w:p w14:paraId="7A374779" w14:textId="08E5BC05" w:rsidR="00336F22" w:rsidRPr="00DB6FF6" w:rsidRDefault="009F792F" w:rsidP="00586D41">
      <w:pPr>
        <w:pStyle w:val="Agency-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szCs w:val="24"/>
        </w:rPr>
      </w:pPr>
      <w:r w:rsidRPr="00DB6FF6">
        <w:rPr>
          <w:b/>
          <w:bCs/>
          <w:szCs w:val="24"/>
        </w:rPr>
        <w:t xml:space="preserve">Przepisy prawne i polityka wspierają podnoszenie świadomości społecznej na temat praw określonych w konwencjach ONZ oraz wspierają </w:t>
      </w:r>
      <w:r w:rsidR="00EF13DC">
        <w:rPr>
          <w:b/>
          <w:bCs/>
          <w:szCs w:val="24"/>
        </w:rPr>
        <w:t>przyjęcie</w:t>
      </w:r>
      <w:r w:rsidR="00EF13DC" w:rsidRPr="00DB6FF6">
        <w:rPr>
          <w:b/>
          <w:bCs/>
          <w:szCs w:val="24"/>
        </w:rPr>
        <w:t xml:space="preserve"> </w:t>
      </w:r>
      <w:r w:rsidR="00EF13DC">
        <w:rPr>
          <w:b/>
          <w:bCs/>
          <w:szCs w:val="24"/>
        </w:rPr>
        <w:t>terminologii</w:t>
      </w:r>
      <w:r w:rsidR="00EF13DC" w:rsidRPr="00DB6FF6">
        <w:rPr>
          <w:b/>
          <w:bCs/>
          <w:szCs w:val="24"/>
        </w:rPr>
        <w:t xml:space="preserve"> </w:t>
      </w:r>
      <w:r w:rsidRPr="00DB6FF6">
        <w:rPr>
          <w:b/>
          <w:bCs/>
          <w:szCs w:val="24"/>
        </w:rPr>
        <w:t>oparte</w:t>
      </w:r>
      <w:r w:rsidR="00EF13DC">
        <w:rPr>
          <w:b/>
          <w:bCs/>
          <w:szCs w:val="24"/>
        </w:rPr>
        <w:t>j</w:t>
      </w:r>
      <w:r w:rsidRPr="00DB6FF6">
        <w:rPr>
          <w:b/>
          <w:bCs/>
          <w:szCs w:val="24"/>
        </w:rPr>
        <w:t xml:space="preserve"> na prawach jako podstawy wspólnego rozumienia edukacji włączającej w całym modelu </w:t>
      </w:r>
      <w:r w:rsidR="00DB6FF6">
        <w:rPr>
          <w:b/>
          <w:bCs/>
          <w:szCs w:val="24"/>
        </w:rPr>
        <w:t>„</w:t>
      </w:r>
      <w:r w:rsidRPr="00DB6FF6">
        <w:rPr>
          <w:b/>
          <w:bCs/>
          <w:szCs w:val="24"/>
        </w:rPr>
        <w:t>Edukacj</w:t>
      </w:r>
      <w:r w:rsidR="00334502">
        <w:rPr>
          <w:b/>
          <w:bCs/>
          <w:szCs w:val="24"/>
        </w:rPr>
        <w:t>a</w:t>
      </w:r>
      <w:r w:rsidRPr="00DB6FF6">
        <w:rPr>
          <w:b/>
          <w:bCs/>
          <w:szCs w:val="24"/>
        </w:rPr>
        <w:t xml:space="preserve"> dla </w:t>
      </w:r>
      <w:r w:rsidR="00334502">
        <w:rPr>
          <w:b/>
          <w:bCs/>
          <w:szCs w:val="24"/>
        </w:rPr>
        <w:t>w</w:t>
      </w:r>
      <w:r w:rsidRPr="00DB6FF6">
        <w:rPr>
          <w:b/>
          <w:bCs/>
          <w:szCs w:val="24"/>
        </w:rPr>
        <w:t>szystkich</w:t>
      </w:r>
      <w:r w:rsidR="00DB6FF6">
        <w:rPr>
          <w:b/>
          <w:bCs/>
          <w:szCs w:val="24"/>
        </w:rPr>
        <w:t>”</w:t>
      </w:r>
      <w:r w:rsidRPr="00DB6FF6">
        <w:rPr>
          <w:szCs w:val="24"/>
        </w:rPr>
        <w:t xml:space="preserve">. </w:t>
      </w:r>
    </w:p>
    <w:p w14:paraId="2A03576E" w14:textId="48118AC0" w:rsidR="009F792F" w:rsidRPr="009F792F" w:rsidRDefault="009F792F" w:rsidP="00586D41">
      <w:pPr>
        <w:pStyle w:val="Agency-body-text"/>
        <w:jc w:val="both"/>
        <w:rPr>
          <w:b/>
          <w:bCs/>
        </w:rPr>
      </w:pPr>
      <w:r w:rsidRPr="00EF3ED8">
        <w:rPr>
          <w:b/>
          <w:bCs/>
        </w:rPr>
        <w:t xml:space="preserve">Prawa podstawowe określone w </w:t>
      </w:r>
      <w:r w:rsidRPr="00DB6FF6">
        <w:rPr>
          <w:b/>
          <w:bCs/>
          <w:i/>
          <w:iCs/>
        </w:rPr>
        <w:t xml:space="preserve">Konwencji Narodów Zjednoczonych o prawach dziecka </w:t>
      </w:r>
      <w:r w:rsidRPr="00EF3ED8">
        <w:rPr>
          <w:b/>
          <w:bCs/>
        </w:rPr>
        <w:t>(</w:t>
      </w:r>
      <w:r w:rsidR="00FE1D73">
        <w:rPr>
          <w:b/>
          <w:bCs/>
        </w:rPr>
        <w:t xml:space="preserve">ang.: </w:t>
      </w:r>
      <w:r w:rsidRPr="00EF3ED8">
        <w:rPr>
          <w:b/>
          <w:bCs/>
        </w:rPr>
        <w:t xml:space="preserve">UNCRC) oraz </w:t>
      </w:r>
      <w:r w:rsidRPr="00DB6FF6">
        <w:rPr>
          <w:b/>
          <w:bCs/>
          <w:i/>
          <w:iCs/>
        </w:rPr>
        <w:t>Konwencji Narodów Zjednoczonych o prawach osób niepełnosprawnych</w:t>
      </w:r>
      <w:r w:rsidRPr="00EF3ED8">
        <w:rPr>
          <w:b/>
          <w:bCs/>
        </w:rPr>
        <w:t xml:space="preserve"> (</w:t>
      </w:r>
      <w:r w:rsidR="00FE1D73">
        <w:rPr>
          <w:b/>
          <w:bCs/>
        </w:rPr>
        <w:t xml:space="preserve">ang.: </w:t>
      </w:r>
      <w:r w:rsidRPr="00EF3ED8">
        <w:rPr>
          <w:b/>
          <w:bCs/>
        </w:rPr>
        <w:t xml:space="preserve">UNCRPD), podpisanych i ratyfikowanych przez Polskę, mają zastosowanie w odniesieniu do wszystkich dzieci. Pełne wdrożenie przepisów </w:t>
      </w:r>
      <w:r w:rsidR="00DB6FF6">
        <w:rPr>
          <w:b/>
          <w:bCs/>
        </w:rPr>
        <w:t>k</w:t>
      </w:r>
      <w:r w:rsidRPr="00EF3ED8">
        <w:rPr>
          <w:b/>
          <w:bCs/>
        </w:rPr>
        <w:t xml:space="preserve">onwencji powinno zapewnić </w:t>
      </w:r>
      <w:r w:rsidR="005C31D2" w:rsidRPr="00EF3ED8">
        <w:rPr>
          <w:b/>
          <w:bCs/>
        </w:rPr>
        <w:t>osobom uczącym się</w:t>
      </w:r>
      <w:r w:rsidR="0060107A">
        <w:rPr>
          <w:b/>
          <w:bCs/>
        </w:rPr>
        <w:t>,</w:t>
      </w:r>
      <w:r w:rsidR="005C31D2" w:rsidRPr="00EF3ED8">
        <w:rPr>
          <w:b/>
          <w:bCs/>
        </w:rPr>
        <w:t xml:space="preserve"> pochodzącym z </w:t>
      </w:r>
      <w:r w:rsidRPr="00EF3ED8">
        <w:rPr>
          <w:b/>
          <w:bCs/>
        </w:rPr>
        <w:t>grup szczególnie</w:t>
      </w:r>
      <w:r w:rsidR="005C31D2" w:rsidRPr="00EF3ED8">
        <w:rPr>
          <w:b/>
          <w:bCs/>
        </w:rPr>
        <w:t xml:space="preserve"> </w:t>
      </w:r>
      <w:r w:rsidR="00EF3ED8" w:rsidRPr="00EF3ED8">
        <w:rPr>
          <w:b/>
          <w:bCs/>
        </w:rPr>
        <w:t>narażonych</w:t>
      </w:r>
      <w:r w:rsidRPr="00EF3ED8">
        <w:rPr>
          <w:b/>
          <w:bCs/>
        </w:rPr>
        <w:t xml:space="preserve">, w </w:t>
      </w:r>
      <w:r w:rsidRPr="00EF3ED8">
        <w:rPr>
          <w:b/>
          <w:bCs/>
        </w:rPr>
        <w:lastRenderedPageBreak/>
        <w:t xml:space="preserve">tym </w:t>
      </w:r>
      <w:r w:rsidR="005C31D2" w:rsidRPr="00EF3ED8">
        <w:rPr>
          <w:b/>
          <w:bCs/>
        </w:rPr>
        <w:t xml:space="preserve">osobom </w:t>
      </w:r>
      <w:r w:rsidRPr="00EF3ED8">
        <w:rPr>
          <w:b/>
          <w:bCs/>
        </w:rPr>
        <w:t>z niepełnosprawnościami, dostęp do edukacji włączającej, która realizuje ich</w:t>
      </w:r>
      <w:r w:rsidRPr="009F792F">
        <w:rPr>
          <w:b/>
          <w:bCs/>
        </w:rPr>
        <w:t xml:space="preserve"> prawa i </w:t>
      </w:r>
      <w:r w:rsidR="00EF13DC">
        <w:rPr>
          <w:b/>
          <w:bCs/>
        </w:rPr>
        <w:t xml:space="preserve">uwzględnia </w:t>
      </w:r>
      <w:r w:rsidRPr="009F792F">
        <w:rPr>
          <w:b/>
          <w:bCs/>
        </w:rPr>
        <w:t>i</w:t>
      </w:r>
      <w:r w:rsidR="00EF13DC">
        <w:rPr>
          <w:b/>
          <w:bCs/>
        </w:rPr>
        <w:t>ch</w:t>
      </w:r>
      <w:r w:rsidRPr="009F792F">
        <w:rPr>
          <w:b/>
          <w:bCs/>
        </w:rPr>
        <w:t xml:space="preserve"> głos w procesie kształcenia. Różnorodność należy postrzegać jako szansę na innowacje i</w:t>
      </w:r>
      <w:r w:rsidR="005C31D2">
        <w:rPr>
          <w:b/>
          <w:bCs/>
        </w:rPr>
        <w:t xml:space="preserve"> doskonalenie</w:t>
      </w:r>
      <w:r w:rsidRPr="009F792F">
        <w:rPr>
          <w:b/>
          <w:bCs/>
        </w:rPr>
        <w:t>, które mają pozytywny wpływ na wszystki</w:t>
      </w:r>
      <w:r w:rsidR="000E100F">
        <w:rPr>
          <w:b/>
          <w:bCs/>
        </w:rPr>
        <w:t>e</w:t>
      </w:r>
      <w:r w:rsidRPr="009F792F">
        <w:rPr>
          <w:b/>
          <w:bCs/>
        </w:rPr>
        <w:t xml:space="preserve"> </w:t>
      </w:r>
      <w:r w:rsidR="000E100F">
        <w:rPr>
          <w:b/>
          <w:bCs/>
        </w:rPr>
        <w:t xml:space="preserve">osoby </w:t>
      </w:r>
      <w:r w:rsidRPr="009F792F">
        <w:rPr>
          <w:b/>
          <w:bCs/>
        </w:rPr>
        <w:t>ucząc</w:t>
      </w:r>
      <w:r w:rsidR="000E100F">
        <w:rPr>
          <w:b/>
          <w:bCs/>
        </w:rPr>
        <w:t>e</w:t>
      </w:r>
      <w:r w:rsidRPr="009F792F">
        <w:rPr>
          <w:b/>
          <w:bCs/>
        </w:rPr>
        <w:t xml:space="preserve"> się.</w:t>
      </w:r>
    </w:p>
    <w:p w14:paraId="14CF8070" w14:textId="6E14904A" w:rsidR="005C31D2" w:rsidRDefault="005C31D2" w:rsidP="00586D41">
      <w:pPr>
        <w:pStyle w:val="Agency-body-text"/>
        <w:jc w:val="both"/>
      </w:pPr>
      <w:r>
        <w:t>Artykuł 2</w:t>
      </w:r>
      <w:r w:rsidR="000E100F">
        <w:t>.</w:t>
      </w:r>
      <w:r>
        <w:t xml:space="preserve"> </w:t>
      </w:r>
      <w:r w:rsidRPr="000E100F">
        <w:rPr>
          <w:i/>
          <w:iCs/>
        </w:rPr>
        <w:t>Konwencji Narodów Zjednoczonych o prawach dziecka</w:t>
      </w:r>
      <w:r>
        <w:t xml:space="preserve"> wprowadza wyraźne zobowiązanie do realizacji prawa do nauki dla każdego dziecka bez dyskryminacji. Ponadto </w:t>
      </w:r>
      <w:r w:rsidRPr="000E100F">
        <w:rPr>
          <w:i/>
          <w:iCs/>
        </w:rPr>
        <w:t>Karta Praw Podstawowych Unii Europejskiej</w:t>
      </w:r>
      <w:r>
        <w:t xml:space="preserve"> jest częścią wiążącego prawa pierwotnego UE, które zawsze</w:t>
      </w:r>
      <w:r w:rsidR="00334502">
        <w:t xml:space="preserve"> ma walor nadrzędny</w:t>
      </w:r>
      <w:r>
        <w:t>. Artykuł 21</w:t>
      </w:r>
      <w:r w:rsidR="000E100F">
        <w:t>.</w:t>
      </w:r>
      <w:r>
        <w:t xml:space="preserve"> zakazuje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4F43DCEC" w14:textId="4B117D0B" w:rsidR="00206A74" w:rsidRPr="005C31D2" w:rsidRDefault="005C31D2" w:rsidP="00586D41">
      <w:pPr>
        <w:pStyle w:val="Agency-body-text"/>
        <w:jc w:val="both"/>
      </w:pPr>
      <w:r w:rsidRPr="005C31D2">
        <w:t xml:space="preserve">Aby zapewnić </w:t>
      </w:r>
      <w:r w:rsidR="00EF3ED8">
        <w:t>przestrzeganie</w:t>
      </w:r>
      <w:r>
        <w:t xml:space="preserve"> zasady </w:t>
      </w:r>
      <w:r w:rsidRPr="005C31D2">
        <w:t>niedyskryminacji, Rada Praw Człowieka (</w:t>
      </w:r>
      <w:r w:rsidR="00FE1D73" w:rsidRPr="009724A5">
        <w:t>Human Rights Council</w:t>
      </w:r>
      <w:r w:rsidR="00FE1D73" w:rsidRPr="005C31D2">
        <w:t xml:space="preserve"> </w:t>
      </w:r>
      <w:r w:rsidRPr="005C31D2">
        <w:t xml:space="preserve">2019) stwierdza, że prawo i polityka powinny wyraźnie zawierać </w:t>
      </w:r>
      <w:r>
        <w:t>„</w:t>
      </w:r>
      <w:r w:rsidRPr="005C31D2">
        <w:t>klauzulę o nieodrzucaniu</w:t>
      </w:r>
      <w:r>
        <w:t>”</w:t>
      </w:r>
      <w:r w:rsidRPr="005C31D2">
        <w:t xml:space="preserve">, zabraniającą odmowy przyjęcia do szkół ogólnodostępnych i gwarantującą ciągłość </w:t>
      </w:r>
      <w:r w:rsidR="00EF13DC">
        <w:t>kształcenia</w:t>
      </w:r>
      <w:r w:rsidR="00EF13DC" w:rsidRPr="005C31D2">
        <w:t xml:space="preserve"> </w:t>
      </w:r>
      <w:r w:rsidRPr="005C31D2">
        <w:t>(s</w:t>
      </w:r>
      <w:r w:rsidR="00EF3ED8">
        <w:t>tr</w:t>
      </w:r>
      <w:r w:rsidRPr="005C31D2">
        <w:t>. 12).</w:t>
      </w:r>
    </w:p>
    <w:p w14:paraId="7F37C704" w14:textId="78F6E2D6" w:rsidR="00436104" w:rsidRPr="00184950" w:rsidRDefault="00EF3ED8" w:rsidP="00586D41">
      <w:pPr>
        <w:pStyle w:val="Agency-body-text"/>
        <w:jc w:val="both"/>
      </w:pPr>
      <w:r>
        <w:t xml:space="preserve">W odniesieniu do niepełnosprawnych </w:t>
      </w:r>
      <w:r w:rsidRPr="00EF3ED8">
        <w:t>os</w:t>
      </w:r>
      <w:r>
        <w:t>ób</w:t>
      </w:r>
      <w:r w:rsidRPr="00EF3ED8">
        <w:t xml:space="preserve"> ucząc</w:t>
      </w:r>
      <w:r>
        <w:t>ych</w:t>
      </w:r>
      <w:r w:rsidRPr="00EF3ED8">
        <w:t xml:space="preserve"> się, art. 23</w:t>
      </w:r>
      <w:r w:rsidR="000E100F">
        <w:t>.</w:t>
      </w:r>
      <w:r w:rsidRPr="00EF3ED8">
        <w:t xml:space="preserve"> </w:t>
      </w:r>
      <w:r w:rsidR="00FE1D73" w:rsidRPr="00FE1D73">
        <w:rPr>
          <w:i/>
          <w:iCs/>
        </w:rPr>
        <w:t>Konwencji Narodów Zjednoczonych o prawach dziecka</w:t>
      </w:r>
      <w:r w:rsidR="00FE1D73" w:rsidRPr="00DB6FF6">
        <w:rPr>
          <w:b/>
          <w:bCs/>
          <w:i/>
          <w:iCs/>
        </w:rPr>
        <w:t xml:space="preserve"> </w:t>
      </w:r>
      <w:r w:rsidRPr="00EF3ED8">
        <w:t xml:space="preserve">wyraźnie odnosi się do prawa dzieci </w:t>
      </w:r>
      <w:r w:rsidR="00903665">
        <w:t xml:space="preserve">z </w:t>
      </w:r>
      <w:r w:rsidRPr="00EF3ED8">
        <w:t>niepełnosprawn</w:t>
      </w:r>
      <w:r w:rsidR="00903665">
        <w:t>ością</w:t>
      </w:r>
      <w:r w:rsidRPr="00EF3ED8">
        <w:t xml:space="preserve"> do pomocy w celu zapewnienia im dostępu do edukacji w sposób promujący ich integrację społeczną.</w:t>
      </w:r>
    </w:p>
    <w:p w14:paraId="6F9E9518" w14:textId="18827959" w:rsidR="00946EDB" w:rsidRDefault="00946EDB" w:rsidP="00586D41">
      <w:pPr>
        <w:pStyle w:val="Agency-body-text"/>
        <w:jc w:val="both"/>
      </w:pPr>
      <w:r>
        <w:t xml:space="preserve">W komentarzu ogólnym nr 4 do </w:t>
      </w:r>
      <w:r w:rsidR="00FE1D73" w:rsidRPr="00FE1D73">
        <w:rPr>
          <w:i/>
          <w:iCs/>
        </w:rPr>
        <w:t>Konwencji Narodów Zjednoczonych o prawach osób niepełnosprawnych</w:t>
      </w:r>
      <w:r w:rsidR="00FE1D73" w:rsidRPr="00EF3ED8">
        <w:rPr>
          <w:b/>
          <w:bCs/>
        </w:rPr>
        <w:t xml:space="preserve"> </w:t>
      </w:r>
      <w:r w:rsidR="00FE1D73" w:rsidRPr="00F57773">
        <w:rPr>
          <w:bCs/>
        </w:rPr>
        <w:t>(</w:t>
      </w:r>
      <w:r>
        <w:t>UNCRPD 2016)</w:t>
      </w:r>
      <w:r w:rsidR="00EF13DC">
        <w:t>,</w:t>
      </w:r>
      <w:r>
        <w:t xml:space="preserve"> dotyczącym prawa do edukacji włączającej, Komitet Praw Osób Niepełnosprawnych wyjaśnił, że edukacja włączająca jest „prawem </w:t>
      </w:r>
      <w:r w:rsidR="00F57773">
        <w:t>powszechnym</w:t>
      </w:r>
      <w:r w:rsidR="00C2123D">
        <w:t>”</w:t>
      </w:r>
      <w:r w:rsidR="003B4CED">
        <w:t xml:space="preserve"> i dźwignią </w:t>
      </w:r>
      <w:r>
        <w:t xml:space="preserve">realizacji </w:t>
      </w:r>
      <w:r w:rsidR="003B4CED">
        <w:t xml:space="preserve">pozostałych </w:t>
      </w:r>
      <w:r>
        <w:t xml:space="preserve">praw człowieka, a w szczególności jest podstawowym środkiem, dzięki któremu osoby </w:t>
      </w:r>
      <w:r w:rsidR="00903665">
        <w:t xml:space="preserve">z </w:t>
      </w:r>
      <w:r>
        <w:t>niepełnosprawn</w:t>
      </w:r>
      <w:r w:rsidR="00903665">
        <w:t>ościami</w:t>
      </w:r>
      <w:r>
        <w:t xml:space="preserve"> mogą wyjść z ubóstwa, uzyskać środki do pełnego </w:t>
      </w:r>
      <w:r w:rsidR="00903665">
        <w:t xml:space="preserve">włączenia </w:t>
      </w:r>
      <w:r>
        <w:t xml:space="preserve">w swoich społecznościach i być chronione przed wyzyskiem. Jest to również podstawowy środek do realizacji idei społeczeństw </w:t>
      </w:r>
      <w:r w:rsidR="00903665">
        <w:t xml:space="preserve">włączających </w:t>
      </w:r>
      <w:r>
        <w:t>(</w:t>
      </w:r>
      <w:r w:rsidR="00FE1D73" w:rsidRPr="009724A5">
        <w:t>Human Rights Council</w:t>
      </w:r>
      <w:r>
        <w:t>, 2019</w:t>
      </w:r>
      <w:r w:rsidR="000E100F">
        <w:t>,</w:t>
      </w:r>
      <w:r>
        <w:t xml:space="preserve"> str. 11).</w:t>
      </w:r>
    </w:p>
    <w:p w14:paraId="39524AB5" w14:textId="52E72766" w:rsidR="00336F22" w:rsidRDefault="00946EDB" w:rsidP="00586D41">
      <w:pPr>
        <w:pStyle w:val="Agency-body-text"/>
        <w:jc w:val="both"/>
      </w:pPr>
      <w:r w:rsidRPr="00946EDB">
        <w:t xml:space="preserve">Również w </w:t>
      </w:r>
      <w:r>
        <w:t>k</w:t>
      </w:r>
      <w:r w:rsidRPr="00946EDB">
        <w:t xml:space="preserve">omentarzu ogólnym nr 4 do art. 24 (Komitet Praw Osób Niepełnosprawnych, 2016) Komitet zajął stanowisko, że wykluczająca lub segregacyjna edukacja jest formą dyskryminacji, która narusza </w:t>
      </w:r>
      <w:r w:rsidRPr="000E100F">
        <w:rPr>
          <w:i/>
          <w:iCs/>
        </w:rPr>
        <w:t>Konwencję o prawach osób niepełnosprawnych</w:t>
      </w:r>
      <w:r>
        <w:t xml:space="preserve"> i </w:t>
      </w:r>
      <w:r w:rsidRPr="00946EDB">
        <w:t xml:space="preserve">jej postanowienia dotyczące </w:t>
      </w:r>
      <w:r w:rsidR="002D6AEE">
        <w:t xml:space="preserve">zapewniania </w:t>
      </w:r>
      <w:r w:rsidRPr="00946EDB">
        <w:t xml:space="preserve">równych szans (Degener i Uldry, 2018). Komitet stwierdza, że należy podjąć </w:t>
      </w:r>
      <w:r>
        <w:t xml:space="preserve">działania </w:t>
      </w:r>
      <w:r w:rsidRPr="00946EDB">
        <w:t xml:space="preserve">w celu </w:t>
      </w:r>
      <w:r w:rsidRPr="00FE1D73">
        <w:rPr>
          <w:i/>
          <w:iCs/>
        </w:rPr>
        <w:t xml:space="preserve">„przyznania wszystkim uczniom z niepełnosprawnościami, niezależnie od </w:t>
      </w:r>
      <w:r w:rsidR="00702165">
        <w:rPr>
          <w:i/>
          <w:iCs/>
        </w:rPr>
        <w:t>indywidua</w:t>
      </w:r>
      <w:r w:rsidR="00EF13DC">
        <w:rPr>
          <w:i/>
          <w:iCs/>
        </w:rPr>
        <w:t>l</w:t>
      </w:r>
      <w:r w:rsidR="00702165">
        <w:rPr>
          <w:i/>
          <w:iCs/>
        </w:rPr>
        <w:t xml:space="preserve">nej charakterystyki </w:t>
      </w:r>
      <w:r w:rsidR="00EF13DC" w:rsidRPr="00FE1D73">
        <w:rPr>
          <w:i/>
          <w:iCs/>
        </w:rPr>
        <w:t>ich</w:t>
      </w:r>
      <w:r w:rsidR="00EF13DC">
        <w:rPr>
          <w:i/>
          <w:iCs/>
        </w:rPr>
        <w:t xml:space="preserve"> </w:t>
      </w:r>
      <w:r w:rsidR="00702165">
        <w:rPr>
          <w:i/>
          <w:iCs/>
        </w:rPr>
        <w:t>funkcjonowania</w:t>
      </w:r>
      <w:r w:rsidRPr="00FE1D73">
        <w:rPr>
          <w:i/>
          <w:iCs/>
        </w:rPr>
        <w:t xml:space="preserve">, prawa dostępu do możliwości </w:t>
      </w:r>
      <w:r w:rsidR="00702165">
        <w:rPr>
          <w:i/>
          <w:iCs/>
        </w:rPr>
        <w:t>włączającego</w:t>
      </w:r>
      <w:r w:rsidR="00702165" w:rsidRPr="00FE1D73">
        <w:rPr>
          <w:i/>
          <w:iCs/>
        </w:rPr>
        <w:t xml:space="preserve"> </w:t>
      </w:r>
      <w:r w:rsidRPr="00FE1D73">
        <w:rPr>
          <w:i/>
          <w:iCs/>
        </w:rPr>
        <w:t xml:space="preserve">uczenia się w szkołach </w:t>
      </w:r>
      <w:r w:rsidR="002D6AEE" w:rsidRPr="00FE1D73">
        <w:rPr>
          <w:i/>
          <w:iCs/>
        </w:rPr>
        <w:t>ogólnodostępnych</w:t>
      </w:r>
      <w:r w:rsidRPr="00FE1D73">
        <w:rPr>
          <w:i/>
          <w:iCs/>
        </w:rPr>
        <w:t xml:space="preserve">, z dostępem do usług wspierających w zależności od </w:t>
      </w:r>
      <w:r w:rsidR="002D6AEE" w:rsidRPr="00FE1D73">
        <w:rPr>
          <w:i/>
          <w:iCs/>
        </w:rPr>
        <w:t xml:space="preserve">ich </w:t>
      </w:r>
      <w:r w:rsidRPr="00FE1D73">
        <w:rPr>
          <w:i/>
          <w:iCs/>
        </w:rPr>
        <w:t>potrzeb”</w:t>
      </w:r>
      <w:r w:rsidRPr="00946EDB">
        <w:t xml:space="preserve"> (Concluding observations on Spain, Committee on the Rights of Persons with Disabilities, 2019, s</w:t>
      </w:r>
      <w:r w:rsidR="00F1513E">
        <w:t>tr</w:t>
      </w:r>
      <w:r w:rsidRPr="00946EDB">
        <w:t>. 10).</w:t>
      </w:r>
    </w:p>
    <w:p w14:paraId="497BB1D7" w14:textId="66934DD6" w:rsidR="009724A5" w:rsidRDefault="002D6AEE" w:rsidP="00586D41">
      <w:pPr>
        <w:pStyle w:val="Agency-body-text"/>
        <w:jc w:val="both"/>
      </w:pPr>
      <w:r w:rsidRPr="002D6AEE">
        <w:t xml:space="preserve">UNESCO </w:t>
      </w:r>
      <w:r w:rsidR="005E1F53">
        <w:t xml:space="preserve">przekazało </w:t>
      </w:r>
      <w:r w:rsidRPr="002D6AEE">
        <w:t xml:space="preserve">jasne przesłanie, że </w:t>
      </w:r>
      <w:r>
        <w:t>„</w:t>
      </w:r>
      <w:r w:rsidRPr="002D6AEE">
        <w:t xml:space="preserve">każde dziecko ma znaczenie - i </w:t>
      </w:r>
      <w:r>
        <w:t xml:space="preserve">liczy się </w:t>
      </w:r>
      <w:r w:rsidRPr="002D6AEE">
        <w:t>w równym stopniu</w:t>
      </w:r>
      <w:r>
        <w:t>”</w:t>
      </w:r>
      <w:r w:rsidRPr="002D6AEE">
        <w:t xml:space="preserve"> (UNESCO, 2017</w:t>
      </w:r>
      <w:r w:rsidR="000E100F">
        <w:t>,</w:t>
      </w:r>
      <w:r w:rsidRPr="002D6AEE">
        <w:t xml:space="preserve"> s</w:t>
      </w:r>
      <w:r w:rsidR="000E100F">
        <w:t>tr</w:t>
      </w:r>
      <w:r w:rsidRPr="002D6AEE">
        <w:t xml:space="preserve">. 12). Komisarz Praw Człowieka Rady Europy (2017) zauważa, że: </w:t>
      </w:r>
      <w:r w:rsidRPr="00FE1D73">
        <w:rPr>
          <w:i/>
          <w:iCs/>
        </w:rPr>
        <w:t>„edukacja włączająca wymaga zmiany mentalności na poziomie społecznym, od postrzegania niektórych dzieci jako problemu do identyfikacji istniejących potrzeb i zmiany samych systemów edukacji. Kluczowe jest, aby całe społeczeństwo, decydenci i wszystkie podmioty zaangażowane w dziedzinie edukacji w pełni zrozumieli potrzebę zmiany tego paradygmatu”</w:t>
      </w:r>
      <w:r w:rsidRPr="002D6AEE">
        <w:t xml:space="preserve"> (s</w:t>
      </w:r>
      <w:r>
        <w:t>tr</w:t>
      </w:r>
      <w:r w:rsidRPr="002D6AEE">
        <w:t>. 20/21).</w:t>
      </w:r>
    </w:p>
    <w:p w14:paraId="7B543B98" w14:textId="7A9C51C6" w:rsidR="001E4A40" w:rsidRPr="00FE1D73" w:rsidRDefault="005E1F53" w:rsidP="00586D41">
      <w:pPr>
        <w:pStyle w:val="Agency-body-text"/>
        <w:jc w:val="both"/>
        <w:rPr>
          <w:rFonts w:asciiTheme="majorHAnsi" w:hAnsiTheme="majorHAnsi" w:cstheme="majorHAnsi"/>
          <w:i/>
          <w:iCs/>
        </w:rPr>
      </w:pPr>
      <w:r w:rsidRPr="005E1F53">
        <w:lastRenderedPageBreak/>
        <w:t xml:space="preserve">Kluczowym elementem zmiany </w:t>
      </w:r>
      <w:r w:rsidR="00D31BC6">
        <w:t xml:space="preserve">ww. </w:t>
      </w:r>
      <w:r w:rsidRPr="005E1F53">
        <w:t xml:space="preserve">paradygmatu jest potrzeba wsłuchania się w głos </w:t>
      </w:r>
      <w:r>
        <w:t xml:space="preserve">osób </w:t>
      </w:r>
      <w:r w:rsidRPr="005E1F53">
        <w:t xml:space="preserve">uczących się. Uczestnictwo dzieci jest prawem człowieka </w:t>
      </w:r>
      <w:r>
        <w:t xml:space="preserve">określonym </w:t>
      </w:r>
      <w:r w:rsidRPr="005E1F53">
        <w:t>w art. 24</w:t>
      </w:r>
      <w:r w:rsidR="000E100F">
        <w:t>.</w:t>
      </w:r>
      <w:r w:rsidRPr="005E1F53">
        <w:t xml:space="preserve"> </w:t>
      </w:r>
      <w:r w:rsidRPr="000E100F">
        <w:rPr>
          <w:i/>
          <w:iCs/>
        </w:rPr>
        <w:t>Karty Praw Podstawowych Unii Europejskiej</w:t>
      </w:r>
      <w:r w:rsidRPr="005E1F53">
        <w:t xml:space="preserve"> (Dz.U. C 364 z </w:t>
      </w:r>
      <w:r w:rsidR="000E100F">
        <w:t xml:space="preserve">dnia </w:t>
      </w:r>
      <w:r w:rsidRPr="005E1F53">
        <w:t>18.12.2000</w:t>
      </w:r>
      <w:r w:rsidR="000E100F">
        <w:t xml:space="preserve"> r.</w:t>
      </w:r>
      <w:r w:rsidRPr="005E1F53">
        <w:t xml:space="preserve">), </w:t>
      </w:r>
      <w:r w:rsidRPr="005E1F53">
        <w:rPr>
          <w:rFonts w:asciiTheme="majorHAnsi" w:hAnsiTheme="majorHAnsi" w:cstheme="majorHAnsi"/>
        </w:rPr>
        <w:t>a art. 12</w:t>
      </w:r>
      <w:r w:rsidR="000E100F" w:rsidRPr="000E100F">
        <w:rPr>
          <w:rFonts w:asciiTheme="majorHAnsi" w:hAnsiTheme="majorHAnsi" w:cstheme="majorHAnsi"/>
          <w:i/>
          <w:iCs/>
        </w:rPr>
        <w:t>.</w:t>
      </w:r>
      <w:r w:rsidRPr="000E100F">
        <w:rPr>
          <w:rFonts w:asciiTheme="majorHAnsi" w:hAnsiTheme="majorHAnsi" w:cstheme="majorHAnsi"/>
          <w:i/>
          <w:iCs/>
        </w:rPr>
        <w:t xml:space="preserve"> Konwencji ONZ o prawach dziecka </w:t>
      </w:r>
      <w:r w:rsidRPr="005E1F53">
        <w:rPr>
          <w:rFonts w:asciiTheme="majorHAnsi" w:hAnsiTheme="majorHAnsi" w:cstheme="majorHAnsi"/>
        </w:rPr>
        <w:t xml:space="preserve">stanowi, że państwa-strony </w:t>
      </w:r>
      <w:r w:rsidRPr="00FE1D73">
        <w:rPr>
          <w:rFonts w:asciiTheme="majorHAnsi" w:hAnsiTheme="majorHAnsi" w:cstheme="majorHAnsi"/>
          <w:i/>
          <w:iCs/>
        </w:rPr>
        <w:t>„</w:t>
      </w:r>
      <w:r w:rsidRPr="00FE1D73">
        <w:rPr>
          <w:rFonts w:asciiTheme="majorHAnsi" w:hAnsiTheme="majorHAnsi" w:cstheme="majorHAnsi"/>
          <w:i/>
          <w:iCs/>
          <w:color w:val="111111"/>
          <w:shd w:val="clear" w:color="auto" w:fill="FFFFFF"/>
        </w:rPr>
        <w:t>zapewniają dziecku, które jest zdolne do kształtowania swych własnych poglądów, prawo do swobodnego wyrażania własnych poglądów we wszystkich sprawach dotyczących dziecka, przyjmując je z należytą wagą, stosownie do wieku oraz dojrzałoś</w:t>
      </w:r>
      <w:r w:rsidR="00266E8E">
        <w:rPr>
          <w:rFonts w:asciiTheme="majorHAnsi" w:hAnsiTheme="majorHAnsi" w:cstheme="majorHAnsi"/>
          <w:i/>
          <w:iCs/>
          <w:color w:val="111111"/>
          <w:shd w:val="clear" w:color="auto" w:fill="FFFFFF"/>
        </w:rPr>
        <w:t>ci</w:t>
      </w:r>
      <w:r w:rsidRPr="00FE1D73">
        <w:rPr>
          <w:rFonts w:asciiTheme="majorHAnsi" w:hAnsiTheme="majorHAnsi" w:cstheme="majorHAnsi"/>
          <w:i/>
          <w:iCs/>
          <w:color w:val="111111"/>
          <w:shd w:val="clear" w:color="auto" w:fill="FFFFFF"/>
        </w:rPr>
        <w:t xml:space="preserve"> dziecka</w:t>
      </w:r>
      <w:r w:rsidR="000E100F" w:rsidRPr="00FE1D73">
        <w:rPr>
          <w:rFonts w:asciiTheme="majorHAnsi" w:hAnsiTheme="majorHAnsi" w:cstheme="majorHAnsi"/>
          <w:i/>
          <w:iCs/>
          <w:color w:val="111111"/>
          <w:shd w:val="clear" w:color="auto" w:fill="FFFFFF"/>
        </w:rPr>
        <w:t>”</w:t>
      </w:r>
      <w:r w:rsidRPr="00FE1D73">
        <w:rPr>
          <w:rFonts w:asciiTheme="majorHAnsi" w:hAnsiTheme="majorHAnsi" w:cstheme="majorHAnsi"/>
          <w:i/>
          <w:iCs/>
          <w:color w:val="111111"/>
          <w:shd w:val="clear" w:color="auto" w:fill="FFFFFF"/>
        </w:rPr>
        <w:t>.</w:t>
      </w:r>
    </w:p>
    <w:p w14:paraId="58A891C2" w14:textId="251A4000" w:rsidR="00184950" w:rsidRDefault="005E1F53" w:rsidP="00586D41">
      <w:pPr>
        <w:pStyle w:val="Agency-body-text"/>
        <w:jc w:val="both"/>
      </w:pPr>
      <w:r w:rsidRPr="000E100F">
        <w:rPr>
          <w:i/>
          <w:iCs/>
        </w:rPr>
        <w:t>Strategia Unii Europejskiej na rzecz praw dziecka określona</w:t>
      </w:r>
      <w:r w:rsidRPr="005E1F53">
        <w:t xml:space="preserve"> w </w:t>
      </w:r>
      <w:r>
        <w:t>K</w:t>
      </w:r>
      <w:r w:rsidRPr="005E1F53">
        <w:t>omunikacie Komisji Europejskiej z dnia 24 marca 2021 r. (</w:t>
      </w:r>
      <w:r>
        <w:t>European Commission</w:t>
      </w:r>
      <w:r w:rsidRPr="005E1F53">
        <w:t xml:space="preserve">, 2021a) odnotowuje w szczególności znaczenie dzieci jako </w:t>
      </w:r>
      <w:r>
        <w:t xml:space="preserve">inicjatorów </w:t>
      </w:r>
      <w:r w:rsidRPr="005E1F53">
        <w:t>zmian oraz prawo dzieci do pełnego wykorzystania ich potencjału bez względu na ich pochodzenie społeczne lub inne niekorzystne</w:t>
      </w:r>
      <w:r w:rsidR="00FE1D73">
        <w:t xml:space="preserve"> okoliczności</w:t>
      </w:r>
      <w:r w:rsidRPr="005E1F53">
        <w:t>, których mogą doświadczać.</w:t>
      </w:r>
    </w:p>
    <w:p w14:paraId="4A7CEE9F" w14:textId="02020755" w:rsidR="00184950" w:rsidRDefault="005E1F53" w:rsidP="00586D41">
      <w:pPr>
        <w:pStyle w:val="Agency-body-text"/>
        <w:jc w:val="both"/>
      </w:pPr>
      <w:r w:rsidRPr="005E1F53">
        <w:t>Wreszcie, aby</w:t>
      </w:r>
      <w:r w:rsidR="009F22C0">
        <w:t xml:space="preserve"> zrealizować założenia </w:t>
      </w:r>
      <w:r w:rsidR="009F22C0" w:rsidRPr="000E100F">
        <w:rPr>
          <w:i/>
          <w:iCs/>
        </w:rPr>
        <w:t>Agendy na rzecz praw dziecka</w:t>
      </w:r>
      <w:r w:rsidRPr="005E1F53">
        <w:t xml:space="preserve">, należy podjąć działania we wszystkich ministerstwach i sektorach, takich jak zdrowie, opieka społeczna, polityka rodzinna i praca, a także edukacja, </w:t>
      </w:r>
      <w:r w:rsidR="009F22C0">
        <w:t xml:space="preserve">mające na celu </w:t>
      </w:r>
      <w:r w:rsidRPr="005E1F53">
        <w:t>zapewni</w:t>
      </w:r>
      <w:r w:rsidR="009F22C0">
        <w:t>enie</w:t>
      </w:r>
      <w:r w:rsidRPr="005E1F53">
        <w:t xml:space="preserve"> </w:t>
      </w:r>
      <w:r w:rsidR="009F22C0">
        <w:t xml:space="preserve">spójności </w:t>
      </w:r>
      <w:r w:rsidRPr="005E1F53">
        <w:t xml:space="preserve">wysiłków </w:t>
      </w:r>
      <w:r w:rsidR="009F22C0">
        <w:t xml:space="preserve">podejmowanych </w:t>
      </w:r>
      <w:r w:rsidRPr="005E1F53">
        <w:t xml:space="preserve">na rzecz programu włączenia społecznego i sprawiedliwości społecznej. W zaleceniu Rady ustanawiającym </w:t>
      </w:r>
      <w:r w:rsidR="007844A9" w:rsidRPr="007844A9">
        <w:rPr>
          <w:i/>
          <w:iCs/>
        </w:rPr>
        <w:t>E</w:t>
      </w:r>
      <w:r w:rsidRPr="007844A9">
        <w:rPr>
          <w:i/>
          <w:iCs/>
        </w:rPr>
        <w:t>uropejską gwarancję na rzecz dzieci</w:t>
      </w:r>
      <w:r w:rsidRPr="005E1F53">
        <w:t xml:space="preserve"> (</w:t>
      </w:r>
      <w:r w:rsidR="009F22C0">
        <w:t xml:space="preserve">European Commission </w:t>
      </w:r>
      <w:r w:rsidRPr="005E1F53">
        <w:t xml:space="preserve">2021b) zaleca się dostęp do edukacji i zajęć szkolnych od wczesnego dzieciństwa, jak również do opieki zdrowotnej i zdrowych posiłków, co jeszcze bardziej </w:t>
      </w:r>
      <w:r w:rsidR="009F22C0">
        <w:t xml:space="preserve">podkreśla </w:t>
      </w:r>
      <w:r w:rsidRPr="005E1F53">
        <w:t xml:space="preserve">potrzebę </w:t>
      </w:r>
      <w:r w:rsidR="009F22C0">
        <w:t xml:space="preserve">współpracy </w:t>
      </w:r>
      <w:r w:rsidRPr="005E1F53">
        <w:t>między ministerstwami i sektorami.</w:t>
      </w:r>
    </w:p>
    <w:p w14:paraId="3BF9D8AD" w14:textId="251BBFB9" w:rsidR="00284E98" w:rsidRDefault="00BB17A5" w:rsidP="00586D41">
      <w:pPr>
        <w:pStyle w:val="Agency-body-text"/>
        <w:jc w:val="both"/>
      </w:pPr>
      <w:r>
        <w:t xml:space="preserve">Podejmowane działania </w:t>
      </w:r>
      <w:r w:rsidRPr="00BB17A5">
        <w:t xml:space="preserve">powinny zapewnić, </w:t>
      </w:r>
      <w:r>
        <w:t>żeby uwarunkowania</w:t>
      </w:r>
      <w:r w:rsidRPr="00BB17A5">
        <w:t xml:space="preserve"> ekonomiczne, społeczne, kulturowe lub osobiste nie </w:t>
      </w:r>
      <w:r>
        <w:t xml:space="preserve">stanowiły </w:t>
      </w:r>
      <w:r w:rsidRPr="00BB17A5">
        <w:t>źródł</w:t>
      </w:r>
      <w:r>
        <w:t>a</w:t>
      </w:r>
      <w:r w:rsidRPr="00BB17A5">
        <w:t xml:space="preserve"> dyskryminacji, </w:t>
      </w:r>
      <w:r w:rsidR="00F1513E">
        <w:t xml:space="preserve">która mogłaby </w:t>
      </w:r>
      <w:r w:rsidRPr="00BB17A5">
        <w:t>uniemożliw</w:t>
      </w:r>
      <w:r w:rsidR="00F1513E">
        <w:t>ić</w:t>
      </w:r>
      <w:r w:rsidRPr="00BB17A5">
        <w:t xml:space="preserve"> niektórym dzieciom korzystanie z </w:t>
      </w:r>
      <w:r w:rsidR="00F1513E">
        <w:t xml:space="preserve">zadawalających ich </w:t>
      </w:r>
      <w:r w:rsidRPr="00BB17A5">
        <w:t>doświadczeń edukacyjnych na równi z innymi</w:t>
      </w:r>
      <w:r w:rsidR="00284E98" w:rsidRPr="00BB17A5">
        <w:t xml:space="preserve"> </w:t>
      </w:r>
      <w:r w:rsidR="00284E98">
        <w:t>(Commissioner for Human Rights, 2017</w:t>
      </w:r>
      <w:r w:rsidR="000E100F">
        <w:t>,</w:t>
      </w:r>
      <w:r w:rsidR="00F1513E">
        <w:t xml:space="preserve"> str</w:t>
      </w:r>
      <w:r w:rsidR="00284E98">
        <w:t>.</w:t>
      </w:r>
      <w:r w:rsidR="009B5503">
        <w:t xml:space="preserve"> </w:t>
      </w:r>
      <w:r w:rsidR="00284E98">
        <w:t>17)</w:t>
      </w:r>
      <w:r w:rsidR="00FC6288">
        <w:t>.</w:t>
      </w:r>
    </w:p>
    <w:p w14:paraId="09A6D32B" w14:textId="46D3B090" w:rsidR="00336F22" w:rsidRDefault="00F1513E" w:rsidP="00586D41">
      <w:pPr>
        <w:pStyle w:val="Agency-body-text"/>
        <w:jc w:val="both"/>
      </w:pPr>
      <w:r w:rsidRPr="00F1513E">
        <w:t xml:space="preserve">Wprowadzenie w Polsce programu </w:t>
      </w:r>
      <w:r>
        <w:t>„</w:t>
      </w:r>
      <w:r w:rsidRPr="00F1513E">
        <w:t>Edukacja dla wszystkich</w:t>
      </w:r>
      <w:r>
        <w:t>”</w:t>
      </w:r>
      <w:r w:rsidRPr="00F1513E">
        <w:t xml:space="preserve"> stanowi okazję do wdrożenia </w:t>
      </w:r>
      <w:r>
        <w:t xml:space="preserve">zapisów </w:t>
      </w:r>
      <w:r w:rsidRPr="00F1513E">
        <w:t xml:space="preserve">konwencji ONZ i </w:t>
      </w:r>
      <w:r>
        <w:t>A</w:t>
      </w:r>
      <w:r w:rsidRPr="00F1513E">
        <w:t xml:space="preserve">gendy UE </w:t>
      </w:r>
      <w:r>
        <w:t xml:space="preserve">na rzecz praw dziecka </w:t>
      </w:r>
      <w:r w:rsidRPr="00F1513E">
        <w:t xml:space="preserve">w celu ograniczenia dyskryminacji z jakichkolwiek przyczyn, a w szczególności poprawy </w:t>
      </w:r>
      <w:r>
        <w:t xml:space="preserve">sytuacji </w:t>
      </w:r>
      <w:r w:rsidRPr="00F1513E">
        <w:t xml:space="preserve">osób niepełnosprawnych w społeczeństwie. Ponadto istnieje możliwość poprawy jakości i spójności usług </w:t>
      </w:r>
      <w:r>
        <w:t>oraz</w:t>
      </w:r>
      <w:r w:rsidRPr="00F1513E">
        <w:t xml:space="preserve"> wsparcia dla wszystkich osób uczących się i ich rodzin w całej Polsce, aby umożliwić każdemu uczniowi dostęp do wysokiej jakości edukacji i czerpanie z niej maksymalnych korzyści w </w:t>
      </w:r>
      <w:r>
        <w:t xml:space="preserve">ramach </w:t>
      </w:r>
      <w:r w:rsidRPr="00F1513E">
        <w:t xml:space="preserve">lokalnej społeczności i </w:t>
      </w:r>
      <w:r w:rsidR="00E45F9B">
        <w:t xml:space="preserve">w gronie </w:t>
      </w:r>
      <w:r w:rsidRPr="00F1513E">
        <w:t>rówieśników.</w:t>
      </w:r>
    </w:p>
    <w:p w14:paraId="50ABF8DE" w14:textId="1E0B204D" w:rsidR="001F33B6" w:rsidRPr="0060107A" w:rsidRDefault="004E3BEF" w:rsidP="00586D41">
      <w:pPr>
        <w:pStyle w:val="Agency-heading-2"/>
        <w:jc w:val="both"/>
      </w:pPr>
      <w:bookmarkStart w:id="10" w:name="_Toc71542594"/>
      <w:r w:rsidRPr="0060107A">
        <w:t>Założenie</w:t>
      </w:r>
      <w:r w:rsidR="001F33B6" w:rsidRPr="0060107A">
        <w:t xml:space="preserve"> 2</w:t>
      </w:r>
      <w:bookmarkEnd w:id="10"/>
      <w:r w:rsidR="000E100F">
        <w:t>.</w:t>
      </w:r>
    </w:p>
    <w:p w14:paraId="4B70CDE9" w14:textId="31217E3D" w:rsidR="000E100F" w:rsidRPr="00E45F9B" w:rsidRDefault="000E100F" w:rsidP="00586D41">
      <w:pPr>
        <w:pStyle w:val="Agency-body-text"/>
        <w:pBdr>
          <w:top w:val="single" w:sz="4" w:space="1" w:color="auto"/>
          <w:left w:val="single" w:sz="4" w:space="2" w:color="auto"/>
          <w:bottom w:val="single" w:sz="4" w:space="1" w:color="auto"/>
          <w:right w:val="single" w:sz="4" w:space="4" w:color="auto"/>
        </w:pBdr>
        <w:shd w:val="clear" w:color="auto" w:fill="D9D9D9" w:themeFill="background1" w:themeFillShade="D9"/>
        <w:jc w:val="both"/>
        <w:rPr>
          <w:b/>
          <w:bCs/>
        </w:rPr>
      </w:pPr>
      <w:bookmarkStart w:id="11" w:name="_Toc30675286"/>
      <w:bookmarkStart w:id="12" w:name="_Toc34991075"/>
      <w:r w:rsidRPr="000E100F">
        <w:rPr>
          <w:b/>
          <w:bCs/>
        </w:rPr>
        <w:t>Szkoły będą katalizatorami włączania społecznego i będą wspierać wszystkie osoby uczące się w przechodzeniu wspólnie z rówieśnikami na kolejne etapy kształcenia oraz w wejściu w dorosłe życie.</w:t>
      </w:r>
    </w:p>
    <w:p w14:paraId="32FE8618" w14:textId="70838FDB" w:rsidR="00336F22" w:rsidRPr="00A739FE" w:rsidRDefault="00E45F9B" w:rsidP="00586D41">
      <w:pPr>
        <w:pStyle w:val="Agency-body-text"/>
        <w:jc w:val="both"/>
        <w:rPr>
          <w:b/>
          <w:bCs/>
        </w:rPr>
      </w:pPr>
      <w:r w:rsidRPr="00E45F9B">
        <w:rPr>
          <w:b/>
          <w:bCs/>
        </w:rPr>
        <w:t xml:space="preserve">Szkoły powinny odzwierciedlać </w:t>
      </w:r>
      <w:r w:rsidR="00702165">
        <w:rPr>
          <w:b/>
          <w:bCs/>
        </w:rPr>
        <w:t>z</w:t>
      </w:r>
      <w:r w:rsidRPr="00E45F9B">
        <w:rPr>
          <w:b/>
          <w:bCs/>
        </w:rPr>
        <w:t>różn</w:t>
      </w:r>
      <w:r w:rsidR="00702165">
        <w:rPr>
          <w:b/>
          <w:bCs/>
        </w:rPr>
        <w:t>icowanie</w:t>
      </w:r>
      <w:r w:rsidRPr="00E45F9B">
        <w:rPr>
          <w:b/>
          <w:bCs/>
        </w:rPr>
        <w:t xml:space="preserve"> społeczności</w:t>
      </w:r>
      <w:r w:rsidR="001C4995">
        <w:rPr>
          <w:b/>
          <w:bCs/>
        </w:rPr>
        <w:t>, w których</w:t>
      </w:r>
      <w:r w:rsidR="000E100F">
        <w:rPr>
          <w:b/>
          <w:bCs/>
        </w:rPr>
        <w:t xml:space="preserve"> funkcjonują</w:t>
      </w:r>
      <w:r w:rsidRPr="00E45F9B">
        <w:rPr>
          <w:b/>
          <w:bCs/>
        </w:rPr>
        <w:t xml:space="preserve">, by przygotować wszystkich uczniów do życia w bardziej </w:t>
      </w:r>
      <w:r w:rsidR="001C4995">
        <w:rPr>
          <w:b/>
          <w:bCs/>
        </w:rPr>
        <w:t xml:space="preserve">włączającym </w:t>
      </w:r>
      <w:r w:rsidRPr="00E45F9B">
        <w:rPr>
          <w:b/>
          <w:bCs/>
        </w:rPr>
        <w:t>społeczeństwie.</w:t>
      </w:r>
      <w:r w:rsidR="001C4995">
        <w:rPr>
          <w:b/>
          <w:bCs/>
        </w:rPr>
        <w:t xml:space="preserve"> Koncentrując się na zapewnianiu równych szans</w:t>
      </w:r>
      <w:r w:rsidRPr="00E45F9B">
        <w:rPr>
          <w:b/>
          <w:bCs/>
        </w:rPr>
        <w:t xml:space="preserve">, szkoły powinny korzystać z zasobów środowiska lokalnego, by zapewnić wszystkim </w:t>
      </w:r>
      <w:r w:rsidR="001C4995">
        <w:rPr>
          <w:b/>
          <w:bCs/>
        </w:rPr>
        <w:t xml:space="preserve">osobom uczącym się </w:t>
      </w:r>
      <w:r w:rsidRPr="00E45F9B">
        <w:rPr>
          <w:b/>
          <w:bCs/>
        </w:rPr>
        <w:t xml:space="preserve">możliwości uczenia się </w:t>
      </w:r>
      <w:r w:rsidR="001C4995">
        <w:rPr>
          <w:b/>
          <w:bCs/>
        </w:rPr>
        <w:t>w grupie rówieśniczej</w:t>
      </w:r>
      <w:r w:rsidRPr="00E45F9B">
        <w:rPr>
          <w:b/>
          <w:bCs/>
        </w:rPr>
        <w:t xml:space="preserve">. Powinny istnieć procesy gwarantujące, że przejścia między szkołami i </w:t>
      </w:r>
      <w:r w:rsidR="001C4995">
        <w:rPr>
          <w:b/>
          <w:bCs/>
        </w:rPr>
        <w:t xml:space="preserve">kolejnymi </w:t>
      </w:r>
      <w:r w:rsidRPr="00E45F9B">
        <w:rPr>
          <w:b/>
          <w:bCs/>
        </w:rPr>
        <w:t xml:space="preserve">etapami edukacji zapewniają ciągłość uczenia się i wsparcia oraz </w:t>
      </w:r>
      <w:r w:rsidR="001C4995">
        <w:rPr>
          <w:b/>
          <w:bCs/>
        </w:rPr>
        <w:t xml:space="preserve">wymianę </w:t>
      </w:r>
      <w:r w:rsidRPr="00E45F9B">
        <w:rPr>
          <w:b/>
          <w:bCs/>
        </w:rPr>
        <w:t>informacj</w:t>
      </w:r>
      <w:r w:rsidR="001C4995">
        <w:rPr>
          <w:b/>
          <w:bCs/>
        </w:rPr>
        <w:t>i</w:t>
      </w:r>
      <w:r w:rsidRPr="00E45F9B">
        <w:rPr>
          <w:b/>
          <w:bCs/>
        </w:rPr>
        <w:t xml:space="preserve"> o </w:t>
      </w:r>
      <w:r w:rsidR="00702165" w:rsidRPr="00E45F9B">
        <w:rPr>
          <w:b/>
          <w:bCs/>
        </w:rPr>
        <w:t xml:space="preserve">uczniach </w:t>
      </w:r>
      <w:r w:rsidR="00702165">
        <w:rPr>
          <w:b/>
          <w:bCs/>
        </w:rPr>
        <w:t>narażonych na wykluczenie</w:t>
      </w:r>
      <w:r w:rsidRPr="00E45F9B">
        <w:rPr>
          <w:b/>
          <w:bCs/>
        </w:rPr>
        <w:t>.</w:t>
      </w:r>
    </w:p>
    <w:p w14:paraId="3B213CC5" w14:textId="79608EA1" w:rsidR="00A64599" w:rsidRPr="0060107A" w:rsidRDefault="001C4995" w:rsidP="00586D41">
      <w:pPr>
        <w:pStyle w:val="Agency-body-text"/>
        <w:jc w:val="both"/>
        <w:rPr>
          <w:color w:val="auto"/>
        </w:rPr>
      </w:pPr>
      <w:r w:rsidRPr="001C4995">
        <w:rPr>
          <w:color w:val="auto"/>
        </w:rPr>
        <w:lastRenderedPageBreak/>
        <w:t xml:space="preserve">W ostatnim raporcie </w:t>
      </w:r>
      <w:r w:rsidR="00D31BC6">
        <w:rPr>
          <w:color w:val="auto"/>
        </w:rPr>
        <w:t xml:space="preserve">UNESCO </w:t>
      </w:r>
      <w:r>
        <w:rPr>
          <w:color w:val="auto"/>
        </w:rPr>
        <w:t xml:space="preserve">stanowiącym </w:t>
      </w:r>
      <w:r w:rsidRPr="001C4995">
        <w:rPr>
          <w:color w:val="auto"/>
        </w:rPr>
        <w:t xml:space="preserve">monitoring edukacji globalnej (UNESCO, 2020) stwierdzono, że: </w:t>
      </w:r>
      <w:r w:rsidRPr="00026C4D">
        <w:rPr>
          <w:i/>
          <w:iCs/>
          <w:color w:val="auto"/>
        </w:rPr>
        <w:t>Włączanie jest imperatywem moralnym i warunkiem osiągnięcia wszystkich Celów Zrównoważonego Rozwoju (SDGs), w szczególności zrównoważonych, sprawiedliwych i włączających społeczeństw. Jest wyrazem sprawiedliwości, a nie dobroczynności...</w:t>
      </w:r>
      <w:r w:rsidR="00026C4D">
        <w:rPr>
          <w:color w:val="auto"/>
        </w:rPr>
        <w:t xml:space="preserve"> </w:t>
      </w:r>
      <w:r w:rsidR="00FB486A" w:rsidRPr="0060107A">
        <w:rPr>
          <w:color w:val="auto"/>
        </w:rPr>
        <w:t>(</w:t>
      </w:r>
      <w:r w:rsidRPr="0060107A">
        <w:rPr>
          <w:color w:val="auto"/>
        </w:rPr>
        <w:t>str</w:t>
      </w:r>
      <w:r w:rsidR="00FB486A" w:rsidRPr="0060107A">
        <w:rPr>
          <w:color w:val="auto"/>
        </w:rPr>
        <w:t>.</w:t>
      </w:r>
      <w:r w:rsidR="00607642" w:rsidRPr="0060107A">
        <w:rPr>
          <w:color w:val="auto"/>
        </w:rPr>
        <w:t xml:space="preserve"> </w:t>
      </w:r>
      <w:r w:rsidR="00A64599" w:rsidRPr="0060107A">
        <w:rPr>
          <w:color w:val="auto"/>
        </w:rPr>
        <w:t>18</w:t>
      </w:r>
      <w:r w:rsidR="00FB486A" w:rsidRPr="0060107A">
        <w:rPr>
          <w:color w:val="auto"/>
        </w:rPr>
        <w:t>).</w:t>
      </w:r>
    </w:p>
    <w:p w14:paraId="07377EB1" w14:textId="3E40660F" w:rsidR="000F5106" w:rsidRDefault="001C4995" w:rsidP="00586D41">
      <w:pPr>
        <w:pStyle w:val="Agency-body-text"/>
        <w:jc w:val="both"/>
      </w:pPr>
      <w:r w:rsidRPr="001C4995">
        <w:rPr>
          <w:color w:val="auto"/>
        </w:rPr>
        <w:t xml:space="preserve">Szkoły </w:t>
      </w:r>
      <w:r>
        <w:rPr>
          <w:color w:val="auto"/>
        </w:rPr>
        <w:t xml:space="preserve">włączające </w:t>
      </w:r>
      <w:r w:rsidRPr="001C4995">
        <w:rPr>
          <w:color w:val="auto"/>
        </w:rPr>
        <w:t>mają na celu zmianę nastawienia do odmienności poprzez wspólne kształcenie wszystkich uczniów (Schwab, 2017). Zaangażowanie w szkole zostało uznane za znacząc</w:t>
      </w:r>
      <w:r w:rsidR="00816E76">
        <w:rPr>
          <w:color w:val="auto"/>
        </w:rPr>
        <w:t>ą predykcję</w:t>
      </w:r>
      <w:r w:rsidRPr="001C4995">
        <w:rPr>
          <w:color w:val="auto"/>
        </w:rPr>
        <w:t xml:space="preserve"> przyszłego zaangażowania w życie społeczne (OECD, 2010), ponieważ pozytywne interakcje społeczne w szkole mają bezpośredni wpływ na uczestnictwo społeczne uczniów po </w:t>
      </w:r>
      <w:r>
        <w:rPr>
          <w:color w:val="auto"/>
        </w:rPr>
        <w:t xml:space="preserve">ich </w:t>
      </w:r>
      <w:r w:rsidRPr="001C4995">
        <w:rPr>
          <w:color w:val="auto"/>
        </w:rPr>
        <w:t xml:space="preserve">wejściu w dorosłość (Graham, 2020). W związku z </w:t>
      </w:r>
      <w:r>
        <w:rPr>
          <w:color w:val="auto"/>
        </w:rPr>
        <w:t xml:space="preserve">powyższym </w:t>
      </w:r>
      <w:r w:rsidRPr="001C4995">
        <w:rPr>
          <w:color w:val="auto"/>
        </w:rPr>
        <w:t xml:space="preserve">segregacja </w:t>
      </w:r>
      <w:r>
        <w:rPr>
          <w:color w:val="auto"/>
        </w:rPr>
        <w:t xml:space="preserve">uczniów </w:t>
      </w:r>
      <w:r w:rsidRPr="001C4995">
        <w:rPr>
          <w:color w:val="auto"/>
        </w:rPr>
        <w:t xml:space="preserve">w oddzielnych placówkach edukacyjnych może mieć znaczący wpływ na </w:t>
      </w:r>
      <w:r>
        <w:rPr>
          <w:color w:val="auto"/>
        </w:rPr>
        <w:t xml:space="preserve">kontynowanie </w:t>
      </w:r>
      <w:r w:rsidR="00D45903">
        <w:rPr>
          <w:color w:val="auto"/>
        </w:rPr>
        <w:t xml:space="preserve">przez nich </w:t>
      </w:r>
      <w:r>
        <w:rPr>
          <w:color w:val="auto"/>
        </w:rPr>
        <w:t xml:space="preserve">kształcenia </w:t>
      </w:r>
      <w:r w:rsidRPr="001C4995">
        <w:rPr>
          <w:color w:val="auto"/>
        </w:rPr>
        <w:t>po ukończeniu szkoły</w:t>
      </w:r>
      <w:r>
        <w:rPr>
          <w:color w:val="auto"/>
        </w:rPr>
        <w:t xml:space="preserve"> lub dalszą edukację </w:t>
      </w:r>
      <w:r w:rsidRPr="001C4995">
        <w:rPr>
          <w:color w:val="auto"/>
        </w:rPr>
        <w:t>i/</w:t>
      </w:r>
      <w:r w:rsidR="00816E76">
        <w:rPr>
          <w:color w:val="auto"/>
        </w:rPr>
        <w:t xml:space="preserve"> </w:t>
      </w:r>
      <w:r w:rsidRPr="001C4995">
        <w:rPr>
          <w:color w:val="auto"/>
        </w:rPr>
        <w:t>lub możliwości zatrudnienia (Mays i in. 2020).</w:t>
      </w:r>
    </w:p>
    <w:p w14:paraId="56AB5A33" w14:textId="71FA3C7E" w:rsidR="00C3242C" w:rsidRPr="00FB486A" w:rsidRDefault="00797C0C" w:rsidP="00586D41">
      <w:pPr>
        <w:pStyle w:val="Agency-body-text"/>
        <w:jc w:val="both"/>
        <w:rPr>
          <w:rFonts w:cs="Calibri"/>
          <w:color w:val="auto"/>
        </w:rPr>
      </w:pPr>
      <w:r w:rsidRPr="00797C0C">
        <w:rPr>
          <w:rFonts w:cs="Calibri"/>
          <w:color w:val="auto"/>
        </w:rPr>
        <w:t>Ostatni</w:t>
      </w:r>
      <w:r>
        <w:rPr>
          <w:rFonts w:cs="Calibri"/>
          <w:color w:val="auto"/>
        </w:rPr>
        <w:t xml:space="preserve">a analiza przeprowadzona </w:t>
      </w:r>
      <w:r w:rsidRPr="00797C0C">
        <w:rPr>
          <w:rFonts w:cs="Calibri"/>
          <w:color w:val="auto"/>
        </w:rPr>
        <w:t xml:space="preserve">przez Europejską </w:t>
      </w:r>
      <w:r w:rsidR="00AE5710" w:rsidRPr="00797C0C">
        <w:rPr>
          <w:rFonts w:cs="Calibri"/>
          <w:color w:val="auto"/>
        </w:rPr>
        <w:t xml:space="preserve">Agencję </w:t>
      </w:r>
      <w:r w:rsidRPr="00797C0C">
        <w:rPr>
          <w:rFonts w:cs="Calibri"/>
          <w:color w:val="auto"/>
        </w:rPr>
        <w:t>(</w:t>
      </w:r>
      <w:r w:rsidR="00A127BD">
        <w:rPr>
          <w:rFonts w:cs="Calibri"/>
          <w:color w:val="auto"/>
        </w:rPr>
        <w:t xml:space="preserve">European Agency </w:t>
      </w:r>
      <w:r w:rsidRPr="00797C0C">
        <w:rPr>
          <w:rFonts w:cs="Calibri"/>
          <w:color w:val="auto"/>
        </w:rPr>
        <w:t xml:space="preserve">2018a) </w:t>
      </w:r>
      <w:r>
        <w:rPr>
          <w:rFonts w:cs="Calibri"/>
          <w:color w:val="auto"/>
        </w:rPr>
        <w:t xml:space="preserve"> również </w:t>
      </w:r>
      <w:r w:rsidRPr="00797C0C">
        <w:rPr>
          <w:rFonts w:cs="Calibri"/>
          <w:color w:val="auto"/>
        </w:rPr>
        <w:t xml:space="preserve">sugeruje, że istnieje związek między edukacją włączającą a włączeniem społecznym w obszarach edukacji, zatrudnienia i </w:t>
      </w:r>
      <w:r>
        <w:rPr>
          <w:rFonts w:cs="Calibri"/>
          <w:color w:val="auto"/>
        </w:rPr>
        <w:t xml:space="preserve">funkcjonowania </w:t>
      </w:r>
      <w:r w:rsidRPr="00797C0C">
        <w:rPr>
          <w:rFonts w:cs="Calibri"/>
          <w:color w:val="auto"/>
        </w:rPr>
        <w:t>w społeczności</w:t>
      </w:r>
      <w:r>
        <w:rPr>
          <w:rFonts w:cs="Calibri"/>
          <w:color w:val="auto"/>
        </w:rPr>
        <w:t xml:space="preserve"> lokalnej</w:t>
      </w:r>
      <w:r w:rsidRPr="00797C0C">
        <w:rPr>
          <w:rFonts w:cs="Calibri"/>
          <w:color w:val="auto"/>
        </w:rPr>
        <w:t xml:space="preserve">. Przedstawione badania sugerują, że uczęszczanie do </w:t>
      </w:r>
      <w:r>
        <w:rPr>
          <w:rFonts w:cs="Calibri"/>
          <w:color w:val="auto"/>
        </w:rPr>
        <w:t xml:space="preserve">odrębnych placówek </w:t>
      </w:r>
      <w:r w:rsidRPr="00797C0C">
        <w:rPr>
          <w:rFonts w:cs="Calibri"/>
          <w:color w:val="auto"/>
        </w:rPr>
        <w:t xml:space="preserve">zmniejsza możliwości włączenia społecznego zarówno w czasie, gdy dzieci z niepełnosprawnościami są w szkole, jak i po ukończeniu </w:t>
      </w:r>
      <w:r w:rsidR="00D31BC6">
        <w:rPr>
          <w:rFonts w:cs="Calibri"/>
          <w:color w:val="auto"/>
        </w:rPr>
        <w:t xml:space="preserve">przez nie </w:t>
      </w:r>
      <w:r w:rsidRPr="00797C0C">
        <w:rPr>
          <w:rFonts w:cs="Calibri"/>
          <w:color w:val="auto"/>
        </w:rPr>
        <w:t xml:space="preserve">szkoły średniej. W </w:t>
      </w:r>
      <w:r>
        <w:rPr>
          <w:rFonts w:cs="Calibri"/>
          <w:color w:val="auto"/>
        </w:rPr>
        <w:t xml:space="preserve">ww. analizie </w:t>
      </w:r>
      <w:r w:rsidRPr="00797C0C">
        <w:rPr>
          <w:rFonts w:cs="Calibri"/>
          <w:color w:val="auto"/>
        </w:rPr>
        <w:t>zauważono</w:t>
      </w:r>
      <w:r>
        <w:rPr>
          <w:rFonts w:cs="Calibri"/>
          <w:color w:val="auto"/>
        </w:rPr>
        <w:t>, że</w:t>
      </w:r>
      <w:r w:rsidRPr="00797C0C">
        <w:rPr>
          <w:rFonts w:cs="Calibri"/>
          <w:color w:val="auto"/>
        </w:rPr>
        <w:t xml:space="preserve">: </w:t>
      </w:r>
      <w:r>
        <w:rPr>
          <w:rFonts w:cs="Calibri"/>
          <w:color w:val="auto"/>
        </w:rPr>
        <w:t>„</w:t>
      </w:r>
      <w:r w:rsidRPr="00797C0C">
        <w:rPr>
          <w:rFonts w:cs="Calibri"/>
          <w:i/>
          <w:iCs/>
          <w:color w:val="auto"/>
        </w:rPr>
        <w:t>uczęszczanie do placówek specjalnych jest skorelowane z niskimi kwalifikacjami edukacyjnymi i zawodowymi, zatrudnieniem w zakładach pracy chronionej, zależnością finansową, mniejszymi możliwościami samodzielnego życia i ubogimi kontaktami społecznymi po ukończeniu szkoły”</w:t>
      </w:r>
      <w:r w:rsidRPr="00797C0C">
        <w:rPr>
          <w:rFonts w:cs="Calibri"/>
          <w:color w:val="auto"/>
        </w:rPr>
        <w:t xml:space="preserve"> </w:t>
      </w:r>
      <w:r w:rsidR="00FB486A">
        <w:rPr>
          <w:rFonts w:cs="Calibri"/>
          <w:color w:val="auto"/>
        </w:rPr>
        <w:t>(</w:t>
      </w:r>
      <w:r>
        <w:rPr>
          <w:rFonts w:cs="Calibri"/>
          <w:color w:val="auto"/>
        </w:rPr>
        <w:t>str</w:t>
      </w:r>
      <w:r w:rsidR="007A5894">
        <w:rPr>
          <w:rFonts w:cs="Calibri"/>
          <w:color w:val="auto"/>
        </w:rPr>
        <w:t>.</w:t>
      </w:r>
      <w:r w:rsidR="00FB486A">
        <w:rPr>
          <w:rFonts w:cs="Calibri"/>
          <w:color w:val="auto"/>
        </w:rPr>
        <w:t xml:space="preserve"> </w:t>
      </w:r>
      <w:r w:rsidR="00C3242C" w:rsidRPr="00FB486A">
        <w:rPr>
          <w:rFonts w:cs="Calibri"/>
          <w:color w:val="auto"/>
        </w:rPr>
        <w:t>6</w:t>
      </w:r>
      <w:r w:rsidR="00FB486A">
        <w:rPr>
          <w:rFonts w:cs="Calibri"/>
          <w:color w:val="auto"/>
        </w:rPr>
        <w:t>)</w:t>
      </w:r>
      <w:r w:rsidR="00C3242C" w:rsidRPr="00FB486A">
        <w:rPr>
          <w:rFonts w:cs="Calibri"/>
          <w:color w:val="auto"/>
        </w:rPr>
        <w:t>.</w:t>
      </w:r>
    </w:p>
    <w:p w14:paraId="19139C25" w14:textId="63C8BD70" w:rsidR="00C3242C" w:rsidRPr="00C3242C" w:rsidRDefault="008900AD" w:rsidP="00586D41">
      <w:pPr>
        <w:pStyle w:val="Agency-body-text"/>
        <w:jc w:val="both"/>
      </w:pPr>
      <w:r w:rsidRPr="008900AD">
        <w:t>Komisarz Praw Człowieka Rady Europy (</w:t>
      </w:r>
      <w:r w:rsidR="00D90CD2" w:rsidRPr="00D90CD2">
        <w:t>Commissioner for Human Rights</w:t>
      </w:r>
      <w:r w:rsidR="00D90CD2" w:rsidRPr="008900AD">
        <w:t xml:space="preserve"> </w:t>
      </w:r>
      <w:r w:rsidRPr="008900AD">
        <w:t xml:space="preserve">2017) podkreśla, że </w:t>
      </w:r>
      <w:r w:rsidRPr="008900AD">
        <w:rPr>
          <w:i/>
          <w:iCs/>
        </w:rPr>
        <w:t>„prawo do edukacji należy tworzyć z uwzględnieniem rozszerzonej wizji edukacji, która wykracza poza kształcenie obowiązkowe i formalne. Powinno ono obejmować dostęp do edukacji przedszkolnej i szkolnictwa wyższego, ale także do zajęć pozalekcyjnych i edukacji nieformalnej. Osoby należące do defaworyzowanych grup społecznych muszą mieć dostęp do takich doświadczeń edukacyjnych na równi z innymi”</w:t>
      </w:r>
      <w:r w:rsidRPr="008900AD">
        <w:t xml:space="preserve"> </w:t>
      </w:r>
      <w:r w:rsidR="004E214C">
        <w:t>(</w:t>
      </w:r>
      <w:r>
        <w:t>str</w:t>
      </w:r>
      <w:r w:rsidR="007A5894">
        <w:t xml:space="preserve">. </w:t>
      </w:r>
      <w:r w:rsidR="00C3242C">
        <w:t>15</w:t>
      </w:r>
      <w:r w:rsidR="004E214C">
        <w:t>)</w:t>
      </w:r>
      <w:r w:rsidR="005420D0">
        <w:t>.</w:t>
      </w:r>
      <w:r w:rsidR="00C3242C">
        <w:t xml:space="preserve"> </w:t>
      </w:r>
    </w:p>
    <w:p w14:paraId="44A53EF9" w14:textId="7F27E162" w:rsidR="00646C24" w:rsidRPr="008900AD" w:rsidRDefault="008900AD" w:rsidP="00586D41">
      <w:pPr>
        <w:pStyle w:val="Agency-body-text"/>
        <w:jc w:val="both"/>
      </w:pPr>
      <w:r w:rsidRPr="008900AD">
        <w:t>Szkoły powinny utrzymywać wysokie oczekiwania i zapewniać wartościowe możliwości uczenia się wszystkim uczniom, wykorzystując dostępną elastyczność programu nauczania. Jak podkreśla</w:t>
      </w:r>
      <w:r>
        <w:t xml:space="preserve">ły osoby uczące się w czasie </w:t>
      </w:r>
      <w:r w:rsidRPr="008900AD">
        <w:t>konsultacj</w:t>
      </w:r>
      <w:r>
        <w:t>i prowadzonych</w:t>
      </w:r>
      <w:r w:rsidRPr="008900AD">
        <w:t xml:space="preserve"> w Polsce (grudzień 2020 r.), wszyscy uczniowie powinni mieć prawo do </w:t>
      </w:r>
      <w:r>
        <w:t xml:space="preserve">realizacji </w:t>
      </w:r>
      <w:r w:rsidRPr="008900AD">
        <w:t xml:space="preserve">pełnego programu nauczania dostosowanego do ich potrzeb. Nie należy ograniczać treści nauczania ze względu na niskie oczekiwania </w:t>
      </w:r>
      <w:r w:rsidR="00AE5710">
        <w:t xml:space="preserve">wobec </w:t>
      </w:r>
      <w:r w:rsidRPr="008900AD">
        <w:t>niektórych grup uczniów.</w:t>
      </w:r>
    </w:p>
    <w:p w14:paraId="38C6FC46" w14:textId="2DFA5681" w:rsidR="00105644" w:rsidRPr="00105644" w:rsidRDefault="00105644" w:rsidP="00586D41">
      <w:pPr>
        <w:pStyle w:val="Agency-body-text"/>
        <w:jc w:val="both"/>
      </w:pPr>
      <w:r w:rsidRPr="00105644">
        <w:t xml:space="preserve">Współpraca między ministerstwami i sektorami ma zasadnicze znaczenie dla zapewnienia wszystkim uczniom możliwości dalszego kształcenia i </w:t>
      </w:r>
      <w:r>
        <w:t xml:space="preserve">rozwoju zawodowego </w:t>
      </w:r>
      <w:r w:rsidRPr="00105644">
        <w:t>po</w:t>
      </w:r>
      <w:r>
        <w:t xml:space="preserve"> ukończeniu szkoły</w:t>
      </w:r>
      <w:r w:rsidRPr="00105644">
        <w:t xml:space="preserve"> oraz dla zagwarantowania, że </w:t>
      </w:r>
      <w:r>
        <w:t xml:space="preserve">osoby uczące się </w:t>
      </w:r>
      <w:r w:rsidRPr="00105644">
        <w:t xml:space="preserve">rozwiną umiejętności uczestnictwa we wszystkich aspektach dorosłego życia jako aktywni członkowie swojej społeczności. </w:t>
      </w:r>
    </w:p>
    <w:p w14:paraId="5161942C" w14:textId="505A9723" w:rsidR="003101C9" w:rsidRPr="00105644" w:rsidRDefault="00105644" w:rsidP="00586D41">
      <w:pPr>
        <w:pStyle w:val="Agency-body-text"/>
        <w:jc w:val="both"/>
      </w:pPr>
      <w:r w:rsidRPr="00105644">
        <w:t xml:space="preserve">Zwłaszcza w </w:t>
      </w:r>
      <w:r>
        <w:t xml:space="preserve">kontekście pandemii </w:t>
      </w:r>
      <w:r w:rsidRPr="00105644">
        <w:t>COVID</w:t>
      </w:r>
      <w:r>
        <w:t>-</w:t>
      </w:r>
      <w:r w:rsidRPr="00105644">
        <w:t xml:space="preserve">19 szkoły powinny dokonać przeglądu i aktualizacji </w:t>
      </w:r>
      <w:r w:rsidR="00816E76">
        <w:t xml:space="preserve">stanu </w:t>
      </w:r>
      <w:r w:rsidRPr="00105644">
        <w:t xml:space="preserve">doradztwa zawodowego </w:t>
      </w:r>
      <w:r>
        <w:t>oraz</w:t>
      </w:r>
      <w:r w:rsidRPr="00105644">
        <w:t xml:space="preserve"> przygotowania do pracy dla wszystkich</w:t>
      </w:r>
      <w:r>
        <w:t xml:space="preserve"> osób uczących się</w:t>
      </w:r>
      <w:r w:rsidRPr="00105644">
        <w:t xml:space="preserve">, zwłaszcza tych </w:t>
      </w:r>
      <w:r>
        <w:t xml:space="preserve">pochodzących </w:t>
      </w:r>
      <w:r w:rsidRPr="00105644">
        <w:t>z grup</w:t>
      </w:r>
      <w:r>
        <w:t xml:space="preserve"> defaworyzowanych</w:t>
      </w:r>
      <w:r w:rsidRPr="00105644">
        <w:t xml:space="preserve">. Jedna z sześciu osi europejskiego obszaru edukacji poświęcona jest edukacji włączającej i </w:t>
      </w:r>
      <w:r>
        <w:t xml:space="preserve">możliwości </w:t>
      </w:r>
      <w:r w:rsidRPr="00105644">
        <w:t>uczeni</w:t>
      </w:r>
      <w:r>
        <w:t>a</w:t>
      </w:r>
      <w:r w:rsidRPr="00105644">
        <w:t xml:space="preserve"> się przez całe życie dla wszystkich. Inicjatywy takie jak </w:t>
      </w:r>
      <w:r>
        <w:t xml:space="preserve">„Droga </w:t>
      </w:r>
      <w:r w:rsidRPr="00105644">
        <w:t xml:space="preserve">do sukcesu szkolnego", </w:t>
      </w:r>
      <w:r>
        <w:lastRenderedPageBreak/>
        <w:t xml:space="preserve">opisane </w:t>
      </w:r>
      <w:r w:rsidRPr="00105644">
        <w:t>w dokumencie COM 625 (wersja ostateczna), mają pomóc wszystkim uczniom w osiągnięciu biegłości w zakresie podstawowych umiejętności, ze szczególnym uwzględnieniem uczniów zagrożonych słabymi wynikami w nauce i przedwczesnym kończeniem nauki</w:t>
      </w:r>
      <w:r w:rsidR="006E7166">
        <w:t xml:space="preserve"> </w:t>
      </w:r>
      <w:r w:rsidR="00836D20" w:rsidRPr="00105644">
        <w:t>(European Commission 2020a).</w:t>
      </w:r>
    </w:p>
    <w:p w14:paraId="33FE2B00" w14:textId="3F45CA68" w:rsidR="00A64599" w:rsidRPr="003101C9" w:rsidRDefault="001B781A" w:rsidP="00586D41">
      <w:pPr>
        <w:pStyle w:val="Agency-body-text"/>
        <w:jc w:val="both"/>
      </w:pPr>
      <w:r w:rsidRPr="001B781A">
        <w:t xml:space="preserve">W szczególności w odniesieniu do osób </w:t>
      </w:r>
      <w:r w:rsidR="00266E8E">
        <w:t xml:space="preserve">z </w:t>
      </w:r>
      <w:r w:rsidRPr="001B781A">
        <w:t>niepełnosprawn</w:t>
      </w:r>
      <w:r w:rsidR="00266E8E">
        <w:t>ościami</w:t>
      </w:r>
      <w:r w:rsidRPr="001B781A">
        <w:t xml:space="preserve">, europejskie podejście do </w:t>
      </w:r>
      <w:r w:rsidR="00996597">
        <w:t xml:space="preserve">potwierdzania efektów </w:t>
      </w:r>
      <w:r>
        <w:t xml:space="preserve">procesu </w:t>
      </w:r>
      <w:r w:rsidRPr="001B781A">
        <w:t xml:space="preserve">uczenia się i zdobywania kwalifikacji poprzez </w:t>
      </w:r>
      <w:r>
        <w:t xml:space="preserve">wprowadzanie </w:t>
      </w:r>
      <w:r w:rsidRPr="001B781A">
        <w:t>elastyczn</w:t>
      </w:r>
      <w:r>
        <w:t>ych</w:t>
      </w:r>
      <w:r w:rsidRPr="001B781A">
        <w:t xml:space="preserve"> i modułow</w:t>
      </w:r>
      <w:r>
        <w:t>ych</w:t>
      </w:r>
      <w:r w:rsidRPr="001B781A">
        <w:t xml:space="preserve"> ścież</w:t>
      </w:r>
      <w:r>
        <w:t>ek</w:t>
      </w:r>
      <w:r w:rsidRPr="001B781A">
        <w:t xml:space="preserve"> kształcenia</w:t>
      </w:r>
      <w:r w:rsidR="00D31BC6">
        <w:t>,</w:t>
      </w:r>
      <w:r w:rsidRPr="001B781A">
        <w:t xml:space="preserve"> określone w </w:t>
      </w:r>
      <w:r w:rsidR="00D90CD2">
        <w:t xml:space="preserve">dokumencie </w:t>
      </w:r>
      <w:r w:rsidRPr="001B781A">
        <w:t xml:space="preserve">COM 101 </w:t>
      </w:r>
      <w:r w:rsidRPr="00816E76">
        <w:rPr>
          <w:i/>
          <w:iCs/>
        </w:rPr>
        <w:t>Unia Równości: Strategia na rzecz praw osób niepełnosprawnych 2021-2030</w:t>
      </w:r>
      <w:r w:rsidRPr="001B781A">
        <w:t xml:space="preserve">, może mieć pozytywny wpływ na </w:t>
      </w:r>
      <w:r w:rsidR="00D90CD2">
        <w:t xml:space="preserve">ich </w:t>
      </w:r>
      <w:r w:rsidRPr="001B781A">
        <w:t>szanse na zatrudnienie i uczenie się przez całe życie</w:t>
      </w:r>
      <w:r>
        <w:t xml:space="preserve"> </w:t>
      </w:r>
      <w:r w:rsidRPr="003101C9">
        <w:t>(European Commission, 2021c).</w:t>
      </w:r>
    </w:p>
    <w:p w14:paraId="151D6710" w14:textId="578DCF14" w:rsidR="001B781A" w:rsidRDefault="001B781A" w:rsidP="00586D41">
      <w:pPr>
        <w:pStyle w:val="Agency-body-text"/>
        <w:jc w:val="both"/>
      </w:pPr>
      <w:r>
        <w:t xml:space="preserve">Wprowadzenie </w:t>
      </w:r>
      <w:r w:rsidR="00D31BC6">
        <w:t xml:space="preserve">modelu </w:t>
      </w:r>
      <w:r>
        <w:t xml:space="preserve">„Edukacja dla wszystkich” stanowi zatem okazję do zwiększenia skuteczności współpracy międzyresortowej i międzysektorowej w zakresie poszerzenia możliwości uczenia się przez całe życie i zatrudnienia, w szczególności w odniesieniu do osób uczących się znajdujących się w najtrudniejszej sytuacji, uznając, że </w:t>
      </w:r>
      <w:r w:rsidRPr="00E9618A">
        <w:rPr>
          <w:i/>
          <w:iCs/>
        </w:rPr>
        <w:t>„włączenie w edukacji jest jedynie elementem składowym włączenia społecznego"</w:t>
      </w:r>
      <w:r>
        <w:t xml:space="preserve"> (UNESCO, 2021a, str. 152).</w:t>
      </w:r>
    </w:p>
    <w:p w14:paraId="20A08FA7" w14:textId="7372C315" w:rsidR="001B781A" w:rsidRDefault="001B781A" w:rsidP="00586D41">
      <w:pPr>
        <w:pStyle w:val="Agency-body-text"/>
        <w:jc w:val="both"/>
      </w:pPr>
      <w:r>
        <w:t xml:space="preserve">Szkoły mają potencjał, by stać się „ośrodkami </w:t>
      </w:r>
      <w:r w:rsidR="00AE5710">
        <w:t>włączenia</w:t>
      </w:r>
      <w:r>
        <w:t xml:space="preserve">" dla dzieci i ich rodzin (European Commission, 2020b, str. 8), a przyszłe zmiany powinny bazować na szkołach mających charakter włączający, które „wpłyną" na tworzenie bardziej włączającego społeczeństwa, </w:t>
      </w:r>
      <w:r w:rsidR="007233B2">
        <w:t xml:space="preserve">przynoszącego </w:t>
      </w:r>
      <w:r>
        <w:t>korzyści wszystki</w:t>
      </w:r>
      <w:r w:rsidR="007233B2">
        <w:t>m</w:t>
      </w:r>
      <w:r w:rsidR="003312AC">
        <w:t xml:space="preserve"> jego członkom</w:t>
      </w:r>
      <w:r>
        <w:t>.</w:t>
      </w:r>
    </w:p>
    <w:p w14:paraId="6C90743D" w14:textId="5AD3177E" w:rsidR="001F33B6" w:rsidRPr="0060107A" w:rsidRDefault="004E3BEF" w:rsidP="00586D41">
      <w:pPr>
        <w:pStyle w:val="Agency-heading-2"/>
        <w:jc w:val="both"/>
      </w:pPr>
      <w:bookmarkStart w:id="13" w:name="_Toc71542595"/>
      <w:r w:rsidRPr="0060107A">
        <w:t>Założenie</w:t>
      </w:r>
      <w:r w:rsidR="001F33B6" w:rsidRPr="0060107A">
        <w:t xml:space="preserve"> 3</w:t>
      </w:r>
      <w:bookmarkEnd w:id="13"/>
      <w:r w:rsidR="00C06170">
        <w:t>.</w:t>
      </w:r>
    </w:p>
    <w:p w14:paraId="60359C96" w14:textId="1352B308" w:rsidR="00336F22" w:rsidRPr="00C06170" w:rsidRDefault="00E00D3B" w:rsidP="00586D41">
      <w:pPr>
        <w:pStyle w:val="Agency-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szCs w:val="24"/>
        </w:rPr>
      </w:pPr>
      <w:r w:rsidRPr="00C06170">
        <w:rPr>
          <w:b/>
          <w:bCs/>
          <w:szCs w:val="24"/>
        </w:rPr>
        <w:t xml:space="preserve">Mechanizmy finansowania będą wspierać sprawiedliwy podział zasobów bez potrzeby etykietowania uczniów i będą się koncentrować na umożliwianiu społecznościom zwiększania potencjału szkół w celu wspierania wszystkich osób uczących się. </w:t>
      </w:r>
    </w:p>
    <w:p w14:paraId="3BCC5EF6" w14:textId="14B2EB87" w:rsidR="00336F22" w:rsidRDefault="00E00D3B" w:rsidP="00586D41">
      <w:pPr>
        <w:pStyle w:val="Agency-body-text"/>
        <w:jc w:val="both"/>
        <w:rPr>
          <w:b/>
          <w:bCs/>
        </w:rPr>
      </w:pPr>
      <w:r w:rsidRPr="00E00D3B">
        <w:rPr>
          <w:b/>
          <w:bCs/>
        </w:rPr>
        <w:t xml:space="preserve">Finansowanie musi zwiększać możliwości systemu i zapewniać </w:t>
      </w:r>
      <w:r>
        <w:rPr>
          <w:b/>
          <w:bCs/>
        </w:rPr>
        <w:t xml:space="preserve">jego </w:t>
      </w:r>
      <w:r w:rsidRPr="00E00D3B">
        <w:rPr>
          <w:b/>
          <w:bCs/>
        </w:rPr>
        <w:t xml:space="preserve">elastyczność, by zapewnić osobom uczącym się dostęp do wsparcia, gdy tylko zostaną zidentyfikowane jakiekolwiek </w:t>
      </w:r>
      <w:r>
        <w:rPr>
          <w:b/>
          <w:bCs/>
        </w:rPr>
        <w:t xml:space="preserve">przeszkody </w:t>
      </w:r>
      <w:r w:rsidRPr="00E00D3B">
        <w:rPr>
          <w:b/>
          <w:bCs/>
        </w:rPr>
        <w:t>w uczeniu się. Ustalenia dotyczące finansowania współpracy między różnymi sektorami i agen</w:t>
      </w:r>
      <w:r w:rsidR="00AE5710">
        <w:rPr>
          <w:b/>
          <w:bCs/>
        </w:rPr>
        <w:t>dami</w:t>
      </w:r>
      <w:r w:rsidRPr="00E00D3B">
        <w:rPr>
          <w:b/>
          <w:bCs/>
        </w:rPr>
        <w:t xml:space="preserve">, które wspierają </w:t>
      </w:r>
      <w:r>
        <w:rPr>
          <w:b/>
          <w:bCs/>
        </w:rPr>
        <w:t xml:space="preserve">osoby uczące </w:t>
      </w:r>
      <w:r w:rsidRPr="00E00D3B">
        <w:rPr>
          <w:b/>
          <w:bCs/>
        </w:rPr>
        <w:t xml:space="preserve">się i szkoły, powinny być jasne, aby zapewnić zaspokojenie szerszych zdrowotnych, społecznych i innych potrzeb </w:t>
      </w:r>
      <w:r>
        <w:rPr>
          <w:b/>
          <w:bCs/>
        </w:rPr>
        <w:t xml:space="preserve">osób </w:t>
      </w:r>
      <w:r w:rsidRPr="00E00D3B">
        <w:rPr>
          <w:b/>
          <w:bCs/>
        </w:rPr>
        <w:t xml:space="preserve">uczących się, a także skuteczne monitorowanie gwarantujące, że fundusze są wykorzystywane zgodnie z </w:t>
      </w:r>
      <w:r>
        <w:rPr>
          <w:b/>
          <w:bCs/>
        </w:rPr>
        <w:t xml:space="preserve">ich </w:t>
      </w:r>
      <w:r w:rsidRPr="00E00D3B">
        <w:rPr>
          <w:b/>
          <w:bCs/>
        </w:rPr>
        <w:t>przeznaczeniem.</w:t>
      </w:r>
    </w:p>
    <w:p w14:paraId="11B85A5D" w14:textId="2752F803" w:rsidR="00C41F0E" w:rsidRPr="00C03864" w:rsidRDefault="00E00D3B" w:rsidP="00586D41">
      <w:pPr>
        <w:pStyle w:val="Agency-body-text"/>
        <w:jc w:val="both"/>
      </w:pPr>
      <w:r w:rsidRPr="00E00D3B">
        <w:t xml:space="preserve">Znaczenie finansowania jako narzędzia </w:t>
      </w:r>
      <w:r w:rsidR="000F5545">
        <w:t>zwiększenia równych szans</w:t>
      </w:r>
      <w:r w:rsidRPr="00E00D3B">
        <w:t xml:space="preserve"> zostało uznane we wskaźniku tematycznym Celu Zrównoważonego Rozwoju (SDG) </w:t>
      </w:r>
      <w:r w:rsidR="000F5545">
        <w:t xml:space="preserve">nr </w:t>
      </w:r>
      <w:r w:rsidRPr="00E00D3B">
        <w:t xml:space="preserve">4, dotyczącym istnienia mechanizmów finansowania służących realokacji zasobów edukacyjnych na rzecz </w:t>
      </w:r>
      <w:r w:rsidR="000F5545">
        <w:t>defaworyzowanych grup społecznych</w:t>
      </w:r>
      <w:r w:rsidRPr="00E00D3B">
        <w:t xml:space="preserve">. Podkreśla to formatywny aspekt monitorowania i potrzebę </w:t>
      </w:r>
      <w:r w:rsidR="000F5545" w:rsidRPr="00E00D3B">
        <w:t>poszczególn</w:t>
      </w:r>
      <w:r w:rsidR="000F5545">
        <w:t>ych</w:t>
      </w:r>
      <w:r w:rsidR="000F5545" w:rsidRPr="00E00D3B">
        <w:t xml:space="preserve"> kraj</w:t>
      </w:r>
      <w:r w:rsidR="000F5545">
        <w:t>ów w zakresie</w:t>
      </w:r>
      <w:r w:rsidR="000F5545" w:rsidRPr="00E00D3B">
        <w:t xml:space="preserve"> </w:t>
      </w:r>
      <w:r w:rsidRPr="00E00D3B">
        <w:t xml:space="preserve">uczenia się od siebie nawzajem </w:t>
      </w:r>
      <w:r w:rsidR="00C41F0E">
        <w:t>(UNESCO</w:t>
      </w:r>
      <w:r w:rsidR="007A5894">
        <w:t>,</w:t>
      </w:r>
      <w:r w:rsidR="00C41F0E">
        <w:t xml:space="preserve"> 2021b).</w:t>
      </w:r>
    </w:p>
    <w:p w14:paraId="28C6DFB7" w14:textId="091483FB" w:rsidR="00C41F0E" w:rsidRDefault="000F5545" w:rsidP="00586D41">
      <w:pPr>
        <w:pStyle w:val="Agency-body-text"/>
        <w:jc w:val="both"/>
      </w:pPr>
      <w:r w:rsidRPr="000F5545">
        <w:rPr>
          <w:color w:val="000000"/>
        </w:rPr>
        <w:t xml:space="preserve">Podczas konsultacji </w:t>
      </w:r>
      <w:r w:rsidR="00721675" w:rsidRPr="00721675">
        <w:rPr>
          <w:i/>
          <w:iCs/>
          <w:color w:val="000000"/>
        </w:rPr>
        <w:t>Za</w:t>
      </w:r>
      <w:r w:rsidRPr="00721675">
        <w:rPr>
          <w:i/>
          <w:iCs/>
          <w:color w:val="000000"/>
        </w:rPr>
        <w:t xml:space="preserve">łożeń </w:t>
      </w:r>
      <w:r w:rsidRPr="000F5545">
        <w:rPr>
          <w:color w:val="000000"/>
        </w:rPr>
        <w:t xml:space="preserve">uczestnicy </w:t>
      </w:r>
      <w:r>
        <w:rPr>
          <w:color w:val="000000"/>
        </w:rPr>
        <w:t xml:space="preserve">spotkań </w:t>
      </w:r>
      <w:r w:rsidRPr="000F5545">
        <w:rPr>
          <w:color w:val="000000"/>
        </w:rPr>
        <w:t xml:space="preserve">podkreślali, że polityka finansowa powinna uwzględniać długoterminowe </w:t>
      </w:r>
      <w:r w:rsidR="00AE5710">
        <w:rPr>
          <w:color w:val="000000"/>
        </w:rPr>
        <w:t>efekty</w:t>
      </w:r>
      <w:r w:rsidR="00AE5710" w:rsidRPr="000F5545">
        <w:rPr>
          <w:color w:val="000000"/>
        </w:rPr>
        <w:t xml:space="preserve"> </w:t>
      </w:r>
      <w:r w:rsidRPr="000F5545">
        <w:rPr>
          <w:color w:val="000000"/>
        </w:rPr>
        <w:t>edukacji włączającej. Długo</w:t>
      </w:r>
      <w:r w:rsidR="00A040F2">
        <w:rPr>
          <w:color w:val="000000"/>
        </w:rPr>
        <w:t>falowe</w:t>
      </w:r>
      <w:r w:rsidRPr="000F5545">
        <w:rPr>
          <w:color w:val="000000"/>
        </w:rPr>
        <w:t xml:space="preserve"> korzyści społeczne i ekonomiczne</w:t>
      </w:r>
      <w:r w:rsidR="00A040F2">
        <w:rPr>
          <w:color w:val="000000"/>
        </w:rPr>
        <w:t>,</w:t>
      </w:r>
      <w:r w:rsidRPr="000F5545">
        <w:rPr>
          <w:color w:val="000000"/>
        </w:rPr>
        <w:t xml:space="preserve"> wynikające z </w:t>
      </w:r>
      <w:r>
        <w:rPr>
          <w:color w:val="000000"/>
        </w:rPr>
        <w:t xml:space="preserve">przeznaczania </w:t>
      </w:r>
      <w:r w:rsidRPr="000F5545">
        <w:rPr>
          <w:color w:val="000000"/>
        </w:rPr>
        <w:t xml:space="preserve">zasobów publicznych </w:t>
      </w:r>
      <w:r>
        <w:rPr>
          <w:color w:val="000000"/>
        </w:rPr>
        <w:t xml:space="preserve">na potrzeby </w:t>
      </w:r>
      <w:r w:rsidRPr="000F5545">
        <w:rPr>
          <w:color w:val="000000"/>
        </w:rPr>
        <w:t xml:space="preserve">zmarginalizowanych </w:t>
      </w:r>
      <w:r>
        <w:rPr>
          <w:color w:val="000000"/>
        </w:rPr>
        <w:t>osób uczących się</w:t>
      </w:r>
      <w:r w:rsidR="00A040F2">
        <w:rPr>
          <w:color w:val="000000"/>
        </w:rPr>
        <w:t>,</w:t>
      </w:r>
      <w:r>
        <w:rPr>
          <w:color w:val="000000"/>
        </w:rPr>
        <w:t xml:space="preserve"> </w:t>
      </w:r>
      <w:r w:rsidRPr="000F5545">
        <w:rPr>
          <w:color w:val="000000"/>
        </w:rPr>
        <w:t xml:space="preserve">znacznie przewyższają </w:t>
      </w:r>
      <w:r>
        <w:rPr>
          <w:color w:val="000000"/>
        </w:rPr>
        <w:t xml:space="preserve">ponoszone </w:t>
      </w:r>
      <w:r w:rsidRPr="000F5545">
        <w:rPr>
          <w:color w:val="000000"/>
        </w:rPr>
        <w:t>koszty i mogą skutkować wynikami w nauce</w:t>
      </w:r>
      <w:r w:rsidR="00996597">
        <w:rPr>
          <w:color w:val="000000"/>
        </w:rPr>
        <w:t xml:space="preserve">, które są zgodne z zasadą </w:t>
      </w:r>
      <w:r w:rsidR="002D70A8">
        <w:rPr>
          <w:color w:val="000000"/>
        </w:rPr>
        <w:t xml:space="preserve">zapewniania </w:t>
      </w:r>
      <w:r w:rsidR="00996597">
        <w:rPr>
          <w:color w:val="000000"/>
        </w:rPr>
        <w:t xml:space="preserve">równych szans </w:t>
      </w:r>
      <w:r w:rsidRPr="000F5545">
        <w:rPr>
          <w:color w:val="000000"/>
        </w:rPr>
        <w:lastRenderedPageBreak/>
        <w:t xml:space="preserve">(UNESCO, 2015). Osoby uczące się, które z jakiegokolwiek powodu przerywają naukę lub nie osiągają sukcesów w szkole, w dorosłym życiu częściej wymagają dodatkowych </w:t>
      </w:r>
      <w:r>
        <w:rPr>
          <w:color w:val="000000"/>
        </w:rPr>
        <w:t>świadczeń</w:t>
      </w:r>
      <w:r w:rsidRPr="000F5545">
        <w:rPr>
          <w:color w:val="000000"/>
        </w:rPr>
        <w:t xml:space="preserve"> (n</w:t>
      </w:r>
      <w:r w:rsidR="00C06170">
        <w:rPr>
          <w:color w:val="000000"/>
        </w:rPr>
        <w:t>p</w:t>
      </w:r>
      <w:r w:rsidR="001177BB">
        <w:rPr>
          <w:color w:val="000000"/>
        </w:rPr>
        <w:t>.</w:t>
      </w:r>
      <w:r w:rsidR="00C06170">
        <w:rPr>
          <w:color w:val="000000"/>
        </w:rPr>
        <w:t>:</w:t>
      </w:r>
      <w:r w:rsidRPr="000F5545">
        <w:rPr>
          <w:color w:val="000000"/>
        </w:rPr>
        <w:t xml:space="preserve"> wsparcia </w:t>
      </w:r>
      <w:r w:rsidR="00C06170">
        <w:rPr>
          <w:color w:val="000000"/>
        </w:rPr>
        <w:t xml:space="preserve">w zakresie </w:t>
      </w:r>
      <w:r w:rsidR="00A040F2">
        <w:rPr>
          <w:color w:val="000000"/>
        </w:rPr>
        <w:t xml:space="preserve">osiąganego </w:t>
      </w:r>
      <w:r w:rsidRPr="000F5545">
        <w:rPr>
          <w:color w:val="000000"/>
        </w:rPr>
        <w:t xml:space="preserve">dochodu, mieszkania, opieki zdrowotnej), co wiąże się z wysokimi kosztami ekonomicznymi i społecznymi dla społeczeństwa (OECD, 2010, 2015). Wynika z tego, że </w:t>
      </w:r>
      <w:r>
        <w:rPr>
          <w:color w:val="000000"/>
        </w:rPr>
        <w:t xml:space="preserve">włączający </w:t>
      </w:r>
      <w:r w:rsidRPr="000F5545">
        <w:rPr>
          <w:color w:val="000000"/>
        </w:rPr>
        <w:t xml:space="preserve">system edukacji, który jest w stanie odpowiedzieć na potrzeby wszystkich </w:t>
      </w:r>
      <w:r w:rsidR="00C06170">
        <w:rPr>
          <w:color w:val="000000"/>
        </w:rPr>
        <w:t xml:space="preserve">osób </w:t>
      </w:r>
      <w:r w:rsidRPr="000F5545">
        <w:rPr>
          <w:color w:val="000000"/>
        </w:rPr>
        <w:t xml:space="preserve">uczących się, ma potencjał, aby przerwać </w:t>
      </w:r>
      <w:r>
        <w:rPr>
          <w:color w:val="000000"/>
        </w:rPr>
        <w:t xml:space="preserve">spiralę marginalizacji </w:t>
      </w:r>
      <w:r w:rsidRPr="000F5545">
        <w:rPr>
          <w:color w:val="000000"/>
        </w:rPr>
        <w:t>(Snow i Powell, 2012) i zmniejszyć nierówności, prowadząc do zwiększenia produktywności i długoterminowej rentowności gospodarczej (OECD 2010) z korzyścią dla wszystkich.</w:t>
      </w:r>
    </w:p>
    <w:p w14:paraId="4195D1E1" w14:textId="36EE0443" w:rsidR="00F313D5" w:rsidRDefault="00F313D5" w:rsidP="00586D41">
      <w:pPr>
        <w:pStyle w:val="Agency-body-text"/>
        <w:jc w:val="both"/>
      </w:pPr>
      <w:r>
        <w:t xml:space="preserve">Uczestnicy spotkań konsultacyjnych zauważyli również, że zasoby mogą być wykorzystywane bardziej efektywnie, gdy istnieje synergia między sektorami, przy współpracy między szkołami, innymi instytucjami oraz usługodawcami. Jest to zgodne z opinią UNESCO (2021a), która to instytucja podkreśla, że dzielenie się wiedzą i zasobami jest </w:t>
      </w:r>
      <w:r w:rsidRPr="00721675">
        <w:rPr>
          <w:i/>
          <w:iCs/>
        </w:rPr>
        <w:t>„jedynym sposobem na trwałe przejście do stanu włączenia społecznego"</w:t>
      </w:r>
      <w:r>
        <w:t xml:space="preserve"> (str. 153).</w:t>
      </w:r>
    </w:p>
    <w:p w14:paraId="65C44121" w14:textId="12AFC249" w:rsidR="00C41F0E" w:rsidRPr="00C41F0E" w:rsidRDefault="00F313D5" w:rsidP="00586D41">
      <w:pPr>
        <w:pStyle w:val="Agency-body-text"/>
        <w:jc w:val="both"/>
      </w:pPr>
      <w:r>
        <w:t xml:space="preserve">UNESCO (2021b) zauważa jednak, że </w:t>
      </w:r>
      <w:r w:rsidR="009461F9">
        <w:t xml:space="preserve">zarządzany przez ministerstwa edukacji, proces </w:t>
      </w:r>
      <w:r>
        <w:t>przekazywani</w:t>
      </w:r>
      <w:r w:rsidR="009461F9">
        <w:t>a</w:t>
      </w:r>
      <w:r>
        <w:t xml:space="preserve"> środków </w:t>
      </w:r>
      <w:r w:rsidR="00F37A9E">
        <w:t xml:space="preserve">na rzecz </w:t>
      </w:r>
      <w:r>
        <w:t>os</w:t>
      </w:r>
      <w:r w:rsidR="00F37A9E">
        <w:t>ó</w:t>
      </w:r>
      <w:r>
        <w:t>b uczący</w:t>
      </w:r>
      <w:r w:rsidR="00F37A9E">
        <w:t>ch</w:t>
      </w:r>
      <w:r>
        <w:t xml:space="preserve"> się, </w:t>
      </w:r>
      <w:r w:rsidR="009461F9">
        <w:t xml:space="preserve">jest </w:t>
      </w:r>
      <w:r>
        <w:t>często</w:t>
      </w:r>
      <w:r w:rsidR="009461F9">
        <w:t xml:space="preserve"> problematyczny z powodu braku możliwości </w:t>
      </w:r>
      <w:r>
        <w:t xml:space="preserve">kierowania </w:t>
      </w:r>
      <w:r w:rsidR="00FD2B08">
        <w:t xml:space="preserve">tych zasobów </w:t>
      </w:r>
      <w:r>
        <w:t xml:space="preserve">do osób najbardziej potrzebujących. </w:t>
      </w:r>
      <w:r w:rsidR="009461F9">
        <w:t xml:space="preserve">Większymi możliwościami w tym zakresie dysponują zazwyczaj </w:t>
      </w:r>
      <w:r>
        <w:t>ministerstwa</w:t>
      </w:r>
      <w:r w:rsidR="009461F9">
        <w:t xml:space="preserve"> polityki społecznej</w:t>
      </w:r>
      <w:r>
        <w:t xml:space="preserve">, a pełny potencjał programów </w:t>
      </w:r>
      <w:r w:rsidR="009461F9">
        <w:t xml:space="preserve">w zakresie </w:t>
      </w:r>
      <w:r>
        <w:t xml:space="preserve">transferów pieniężnych mógłby być lepiej wykorzystany poprzez zintegrowane planowanie i wspólne opracowywanie </w:t>
      </w:r>
      <w:r w:rsidR="009461F9">
        <w:t xml:space="preserve">inicjatyw </w:t>
      </w:r>
      <w:r>
        <w:t>(s</w:t>
      </w:r>
      <w:r w:rsidR="003D4DF3">
        <w:t>tr</w:t>
      </w:r>
      <w:r>
        <w:t>. 16).</w:t>
      </w:r>
    </w:p>
    <w:p w14:paraId="3DCB2571" w14:textId="01FB9733" w:rsidR="00BB2C1D" w:rsidRDefault="00FD2B08" w:rsidP="00586D41">
      <w:pPr>
        <w:pStyle w:val="Agency-body-text"/>
        <w:jc w:val="both"/>
      </w:pPr>
      <w:r w:rsidRPr="00FD2B08">
        <w:t xml:space="preserve">Aby objąć </w:t>
      </w:r>
      <w:r>
        <w:t>edukacją włączając</w:t>
      </w:r>
      <w:r w:rsidR="00D83FC8">
        <w:t>ą</w:t>
      </w:r>
      <w:r>
        <w:t xml:space="preserve"> </w:t>
      </w:r>
      <w:r w:rsidRPr="00FD2B08">
        <w:t>wszystki</w:t>
      </w:r>
      <w:r>
        <w:t>e osoby</w:t>
      </w:r>
      <w:r w:rsidRPr="00FD2B08">
        <w:t xml:space="preserve"> ucząc</w:t>
      </w:r>
      <w:r>
        <w:t>e</w:t>
      </w:r>
      <w:r w:rsidRPr="00FD2B08">
        <w:t xml:space="preserve"> się w lokalnych szkołach, potrzebne jest podejście </w:t>
      </w:r>
      <w:r w:rsidR="00C43C83">
        <w:t xml:space="preserve">bazujące </w:t>
      </w:r>
      <w:r w:rsidRPr="00FD2B08">
        <w:t xml:space="preserve">na rozwoju szkoły, aby przejść od finansowania opartego na indywidualnych potrzebach do uniwersalnego wsparcia wszystkich </w:t>
      </w:r>
      <w:r>
        <w:t xml:space="preserve">osób uczących się </w:t>
      </w:r>
      <w:r w:rsidRPr="00FD2B08">
        <w:t xml:space="preserve">poprzez elastyczne i zróżnicowane strategie skoncentrowane na uczniu, które umożliwiają </w:t>
      </w:r>
      <w:r w:rsidR="00D83FC8">
        <w:t>spersonalizowane</w:t>
      </w:r>
      <w:r w:rsidRPr="00FD2B08">
        <w:t xml:space="preserve"> uczenie się. Szkoły powinny skupić się na </w:t>
      </w:r>
      <w:r>
        <w:t xml:space="preserve">niwelowaniu </w:t>
      </w:r>
      <w:r w:rsidRPr="00FD2B08">
        <w:t xml:space="preserve">barier w </w:t>
      </w:r>
      <w:r>
        <w:t xml:space="preserve">zakresie </w:t>
      </w:r>
      <w:r w:rsidRPr="00FD2B08">
        <w:t>uczeni</w:t>
      </w:r>
      <w:r>
        <w:t>a</w:t>
      </w:r>
      <w:r w:rsidRPr="00FD2B08">
        <w:t xml:space="preserve"> się i praktyk dyskryminacyjnych poprzez przekształcanie organizacji, </w:t>
      </w:r>
      <w:r>
        <w:t xml:space="preserve">dydaktyki </w:t>
      </w:r>
      <w:r w:rsidRPr="00FD2B08">
        <w:t>nauczania i</w:t>
      </w:r>
      <w:r>
        <w:t xml:space="preserve"> zmianę </w:t>
      </w:r>
      <w:r w:rsidRPr="00FD2B08">
        <w:t>środowiska klas</w:t>
      </w:r>
      <w:r>
        <w:t>y szkolnej</w:t>
      </w:r>
      <w:r w:rsidRPr="00FD2B08">
        <w:t xml:space="preserve"> (European Agency 2018b, OECD 2016). Należy uznać, że indywidualne i kompensacyjne podejścia generalnie prowadzą do wyższych kosztów, ponieważ potrzebne jest większe wsparcie zewnętrzne, aby nadrobić brak przygotowania nauczycieli do </w:t>
      </w:r>
      <w:r>
        <w:t xml:space="preserve">zarządzania </w:t>
      </w:r>
      <w:r w:rsidRPr="00FD2B08">
        <w:t>różnorodności</w:t>
      </w:r>
      <w:r>
        <w:t>ą</w:t>
      </w:r>
      <w:r w:rsidRPr="00FD2B08">
        <w:t>.</w:t>
      </w:r>
    </w:p>
    <w:p w14:paraId="4F8EDD2D" w14:textId="4874E95A" w:rsidR="008E45A4" w:rsidRDefault="00FD2B08" w:rsidP="00586D41">
      <w:pPr>
        <w:pStyle w:val="Agency-body-text"/>
        <w:jc w:val="both"/>
      </w:pPr>
      <w:r w:rsidRPr="00FD2B08">
        <w:t xml:space="preserve">Podejście </w:t>
      </w:r>
      <w:r>
        <w:t xml:space="preserve">oparte na </w:t>
      </w:r>
      <w:r w:rsidRPr="00FD2B08">
        <w:t xml:space="preserve">rozwoju szkoły zakłada tworzenie partnerstw, współpracę i angażowanie się we wspólne działania na rzecz zrównoważonego rozwoju </w:t>
      </w:r>
      <w:r w:rsidR="00BB2C1D" w:rsidRPr="0055315C">
        <w:t>(European Agency, 2018</w:t>
      </w:r>
      <w:r w:rsidR="000C1E2B">
        <w:t>c</w:t>
      </w:r>
      <w:r w:rsidR="00BB2C1D" w:rsidRPr="0055315C">
        <w:t>).</w:t>
      </w:r>
      <w:r w:rsidR="00BB2C1D">
        <w:t xml:space="preserve"> </w:t>
      </w:r>
    </w:p>
    <w:p w14:paraId="5824180E" w14:textId="3ED75126" w:rsidR="00FD2B08" w:rsidRPr="00FD2B08" w:rsidRDefault="00FD2B08" w:rsidP="00586D41">
      <w:pPr>
        <w:pStyle w:val="Agency-body-text"/>
        <w:jc w:val="both"/>
      </w:pPr>
      <w:r w:rsidRPr="00FD2B08">
        <w:t>Możliwości szkół można zwiększyć dzięki elastycznemu finansowaniu, które umożliwia szkołom dostęp do wsparcia ze strony społeczności lokalnej, ze szczególnym uwzględnieniem środków zapobiegawczych (n</w:t>
      </w:r>
      <w:r w:rsidR="00D83FC8">
        <w:t>p</w:t>
      </w:r>
      <w:r w:rsidR="001177BB">
        <w:t>.</w:t>
      </w:r>
      <w:r w:rsidR="00D83FC8">
        <w:t>:</w:t>
      </w:r>
      <w:r w:rsidRPr="00FD2B08">
        <w:t xml:space="preserve"> angażowanie uczniów</w:t>
      </w:r>
      <w:r>
        <w:t xml:space="preserve"> </w:t>
      </w:r>
      <w:r w:rsidRPr="00FD2B08">
        <w:t>dzięki szerszy</w:t>
      </w:r>
      <w:r>
        <w:t>m</w:t>
      </w:r>
      <w:r w:rsidRPr="00FD2B08">
        <w:t xml:space="preserve">  możliwości</w:t>
      </w:r>
      <w:r>
        <w:t>om</w:t>
      </w:r>
      <w:r w:rsidRPr="00FD2B08">
        <w:t xml:space="preserve"> program</w:t>
      </w:r>
      <w:r>
        <w:t>u nauczania</w:t>
      </w:r>
      <w:r w:rsidRPr="00FD2B08">
        <w:t>, mentoring).</w:t>
      </w:r>
    </w:p>
    <w:p w14:paraId="31A5E6D8" w14:textId="66A37516" w:rsidR="00C43F70" w:rsidRDefault="00FD2B08" w:rsidP="00586D41">
      <w:pPr>
        <w:pStyle w:val="Agency-body-text"/>
        <w:jc w:val="both"/>
      </w:pPr>
      <w:r>
        <w:t xml:space="preserve">Gdy władze lokalne podejmują decyzje na podstawie informacji otrzymywanych od usługodawców wspierających szkoły lub z ośrodków doradczych, a </w:t>
      </w:r>
      <w:r w:rsidR="00BD7E7B">
        <w:t xml:space="preserve">same </w:t>
      </w:r>
      <w:r>
        <w:t xml:space="preserve">szkoły </w:t>
      </w:r>
      <w:r w:rsidR="00BD7E7B">
        <w:t xml:space="preserve">dysponują </w:t>
      </w:r>
      <w:r>
        <w:t>pewną swobod</w:t>
      </w:r>
      <w:r w:rsidR="00BD7E7B">
        <w:t>ą</w:t>
      </w:r>
      <w:r>
        <w:t xml:space="preserve"> w podejmowaniu decyzji dotyczących wydatków, </w:t>
      </w:r>
      <w:r w:rsidR="00BD7E7B">
        <w:t xml:space="preserve">tak skonstruowane </w:t>
      </w:r>
      <w:r>
        <w:t xml:space="preserve">budżety </w:t>
      </w:r>
      <w:r w:rsidR="00BD7E7B">
        <w:t xml:space="preserve">mogą </w:t>
      </w:r>
      <w:r>
        <w:t>zazwyczaj bardziej skuteczn</w:t>
      </w:r>
      <w:r w:rsidR="00BD7E7B">
        <w:t>i</w:t>
      </w:r>
      <w:r>
        <w:t>e i efektywn</w:t>
      </w:r>
      <w:r w:rsidR="00BD7E7B">
        <w:t>ie</w:t>
      </w:r>
      <w:r>
        <w:t xml:space="preserve"> </w:t>
      </w:r>
      <w:r w:rsidR="00BD7E7B">
        <w:t xml:space="preserve">wspierać osiąganie </w:t>
      </w:r>
      <w:r>
        <w:t>celów edukacji włączającej</w:t>
      </w:r>
      <w:r w:rsidRPr="00C43F70">
        <w:t xml:space="preserve"> </w:t>
      </w:r>
      <w:r w:rsidR="00C43F70" w:rsidRPr="00C43F70">
        <w:t xml:space="preserve">(European Agency, 2016a) (UNESCO, 2021a </w:t>
      </w:r>
      <w:r w:rsidR="00BD7E7B">
        <w:t>str</w:t>
      </w:r>
      <w:r w:rsidR="00C43F70" w:rsidRPr="00C43F70">
        <w:t>.</w:t>
      </w:r>
      <w:r w:rsidR="007A5894">
        <w:t xml:space="preserve"> </w:t>
      </w:r>
      <w:r w:rsidR="00C43F70" w:rsidRPr="00C43F70">
        <w:t>78).</w:t>
      </w:r>
    </w:p>
    <w:p w14:paraId="1504E4B9" w14:textId="1DF17171" w:rsidR="00C43F70" w:rsidRPr="00990941" w:rsidRDefault="00D95447" w:rsidP="00586D41">
      <w:pPr>
        <w:pStyle w:val="Agency-body-text"/>
        <w:jc w:val="both"/>
        <w:rPr>
          <w:rFonts w:asciiTheme="majorHAnsi" w:hAnsiTheme="majorHAnsi" w:cstheme="majorHAnsi"/>
        </w:rPr>
      </w:pPr>
      <w:r w:rsidRPr="00D95447">
        <w:t xml:space="preserve">W </w:t>
      </w:r>
      <w:r>
        <w:t>czasie konsultacji podnoszona była również k</w:t>
      </w:r>
      <w:r w:rsidRPr="00D95447">
        <w:rPr>
          <w:rFonts w:asciiTheme="majorHAnsi" w:hAnsiTheme="majorHAnsi" w:cstheme="majorHAnsi"/>
        </w:rPr>
        <w:t>westia elastyczności, a interesariusze sugerowali, że fundusze przy</w:t>
      </w:r>
      <w:r>
        <w:rPr>
          <w:rFonts w:asciiTheme="majorHAnsi" w:hAnsiTheme="majorHAnsi" w:cstheme="majorHAnsi"/>
        </w:rPr>
        <w:t xml:space="preserve">znawane </w:t>
      </w:r>
      <w:r w:rsidRPr="00D95447">
        <w:rPr>
          <w:rFonts w:asciiTheme="majorHAnsi" w:hAnsiTheme="majorHAnsi" w:cstheme="majorHAnsi"/>
        </w:rPr>
        <w:t>miastom, gminom</w:t>
      </w:r>
      <w:r>
        <w:rPr>
          <w:rFonts w:asciiTheme="majorHAnsi" w:hAnsiTheme="majorHAnsi" w:cstheme="majorHAnsi"/>
        </w:rPr>
        <w:t xml:space="preserve">, </w:t>
      </w:r>
      <w:r w:rsidRPr="00D95447">
        <w:rPr>
          <w:rFonts w:asciiTheme="majorHAnsi" w:hAnsiTheme="majorHAnsi" w:cstheme="majorHAnsi"/>
        </w:rPr>
        <w:t xml:space="preserve">województwom, </w:t>
      </w:r>
      <w:r>
        <w:rPr>
          <w:rFonts w:asciiTheme="majorHAnsi" w:hAnsiTheme="majorHAnsi" w:cstheme="majorHAnsi"/>
        </w:rPr>
        <w:t xml:space="preserve">instytucjom </w:t>
      </w:r>
      <w:r>
        <w:rPr>
          <w:rFonts w:asciiTheme="majorHAnsi" w:hAnsiTheme="majorHAnsi" w:cstheme="majorHAnsi"/>
        </w:rPr>
        <w:lastRenderedPageBreak/>
        <w:t>wspierającym</w:t>
      </w:r>
      <w:r w:rsidRPr="00D95447">
        <w:rPr>
          <w:rFonts w:asciiTheme="majorHAnsi" w:hAnsiTheme="majorHAnsi" w:cstheme="majorHAnsi"/>
        </w:rPr>
        <w:t xml:space="preserve">, sieciom lub poszczególnym szkołom powinny </w:t>
      </w:r>
      <w:r>
        <w:rPr>
          <w:rFonts w:asciiTheme="majorHAnsi" w:hAnsiTheme="majorHAnsi" w:cstheme="majorHAnsi"/>
        </w:rPr>
        <w:t>„</w:t>
      </w:r>
      <w:r w:rsidRPr="00D95447">
        <w:rPr>
          <w:rFonts w:asciiTheme="majorHAnsi" w:hAnsiTheme="majorHAnsi" w:cstheme="majorHAnsi"/>
        </w:rPr>
        <w:t xml:space="preserve">podążać za </w:t>
      </w:r>
      <w:r>
        <w:rPr>
          <w:rFonts w:asciiTheme="majorHAnsi" w:hAnsiTheme="majorHAnsi" w:cstheme="majorHAnsi"/>
        </w:rPr>
        <w:t xml:space="preserve">osobami </w:t>
      </w:r>
      <w:r w:rsidRPr="00D95447">
        <w:rPr>
          <w:rFonts w:asciiTheme="majorHAnsi" w:hAnsiTheme="majorHAnsi" w:cstheme="majorHAnsi"/>
        </w:rPr>
        <w:t>uczącymi się</w:t>
      </w:r>
      <w:r>
        <w:rPr>
          <w:rFonts w:asciiTheme="majorHAnsi" w:hAnsiTheme="majorHAnsi" w:cstheme="majorHAnsi"/>
        </w:rPr>
        <w:t>”</w:t>
      </w:r>
      <w:r w:rsidRPr="00D95447">
        <w:rPr>
          <w:rFonts w:asciiTheme="majorHAnsi" w:hAnsiTheme="majorHAnsi" w:cstheme="majorHAnsi"/>
        </w:rPr>
        <w:t xml:space="preserve"> i zapewniać </w:t>
      </w:r>
      <w:r>
        <w:rPr>
          <w:rFonts w:asciiTheme="majorHAnsi" w:hAnsiTheme="majorHAnsi" w:cstheme="majorHAnsi"/>
        </w:rPr>
        <w:t xml:space="preserve">im </w:t>
      </w:r>
      <w:r w:rsidRPr="00D95447">
        <w:rPr>
          <w:rFonts w:asciiTheme="majorHAnsi" w:hAnsiTheme="majorHAnsi" w:cstheme="majorHAnsi"/>
        </w:rPr>
        <w:t xml:space="preserve">wsparcie bez potrzeby formalnej oceny lub </w:t>
      </w:r>
      <w:r>
        <w:rPr>
          <w:rFonts w:asciiTheme="majorHAnsi" w:hAnsiTheme="majorHAnsi" w:cstheme="majorHAnsi"/>
        </w:rPr>
        <w:t>stawiania „</w:t>
      </w:r>
      <w:r w:rsidRPr="00D95447">
        <w:rPr>
          <w:rFonts w:asciiTheme="majorHAnsi" w:hAnsiTheme="majorHAnsi" w:cstheme="majorHAnsi"/>
        </w:rPr>
        <w:t>twardych granic</w:t>
      </w:r>
      <w:r>
        <w:rPr>
          <w:rFonts w:asciiTheme="majorHAnsi" w:hAnsiTheme="majorHAnsi" w:cstheme="majorHAnsi"/>
        </w:rPr>
        <w:t>”</w:t>
      </w:r>
      <w:r w:rsidRPr="00D95447">
        <w:rPr>
          <w:rFonts w:asciiTheme="majorHAnsi" w:hAnsiTheme="majorHAnsi" w:cstheme="majorHAnsi"/>
        </w:rPr>
        <w:t xml:space="preserve"> między </w:t>
      </w:r>
      <w:r>
        <w:rPr>
          <w:rFonts w:asciiTheme="majorHAnsi" w:hAnsiTheme="majorHAnsi" w:cstheme="majorHAnsi"/>
        </w:rPr>
        <w:t xml:space="preserve">osobami </w:t>
      </w:r>
      <w:r w:rsidRPr="00D95447">
        <w:rPr>
          <w:rFonts w:asciiTheme="majorHAnsi" w:hAnsiTheme="majorHAnsi" w:cstheme="majorHAnsi"/>
        </w:rPr>
        <w:t>uczącymi się, któr</w:t>
      </w:r>
      <w:r>
        <w:rPr>
          <w:rFonts w:asciiTheme="majorHAnsi" w:hAnsiTheme="majorHAnsi" w:cstheme="majorHAnsi"/>
        </w:rPr>
        <w:t>e</w:t>
      </w:r>
      <w:r w:rsidRPr="00D95447">
        <w:rPr>
          <w:rFonts w:asciiTheme="majorHAnsi" w:hAnsiTheme="majorHAnsi" w:cstheme="majorHAnsi"/>
        </w:rPr>
        <w:t xml:space="preserve"> otrzymują dodatkow</w:t>
      </w:r>
      <w:r w:rsidR="00206EBB">
        <w:rPr>
          <w:rFonts w:asciiTheme="majorHAnsi" w:hAnsiTheme="majorHAnsi" w:cstheme="majorHAnsi"/>
        </w:rPr>
        <w:t>e</w:t>
      </w:r>
      <w:r w:rsidRPr="00D95447">
        <w:rPr>
          <w:rFonts w:asciiTheme="majorHAnsi" w:hAnsiTheme="majorHAnsi" w:cstheme="majorHAnsi"/>
        </w:rPr>
        <w:t xml:space="preserve"> fundusz</w:t>
      </w:r>
      <w:r w:rsidR="00206EBB">
        <w:rPr>
          <w:rFonts w:asciiTheme="majorHAnsi" w:hAnsiTheme="majorHAnsi" w:cstheme="majorHAnsi"/>
        </w:rPr>
        <w:t>e lub ich nie dostają</w:t>
      </w:r>
      <w:r w:rsidRPr="00D95447">
        <w:rPr>
          <w:rFonts w:asciiTheme="majorHAnsi" w:hAnsiTheme="majorHAnsi" w:cstheme="majorHAnsi"/>
        </w:rPr>
        <w:t xml:space="preserve">. W </w:t>
      </w:r>
      <w:r>
        <w:rPr>
          <w:rFonts w:asciiTheme="majorHAnsi" w:hAnsiTheme="majorHAnsi" w:cstheme="majorHAnsi"/>
        </w:rPr>
        <w:t xml:space="preserve">taki </w:t>
      </w:r>
      <w:r w:rsidRPr="00D95447">
        <w:rPr>
          <w:rFonts w:asciiTheme="majorHAnsi" w:hAnsiTheme="majorHAnsi" w:cstheme="majorHAnsi"/>
        </w:rPr>
        <w:t xml:space="preserve">sposób należy unikać zachowań strategicznych, które mogą skutkować </w:t>
      </w:r>
      <w:r w:rsidR="00206EBB">
        <w:rPr>
          <w:rFonts w:asciiTheme="majorHAnsi" w:hAnsiTheme="majorHAnsi" w:cstheme="majorHAnsi"/>
        </w:rPr>
        <w:t xml:space="preserve">zwiększeniem zjawiska </w:t>
      </w:r>
      <w:r w:rsidRPr="00D95447">
        <w:rPr>
          <w:rFonts w:asciiTheme="majorHAnsi" w:hAnsiTheme="majorHAnsi" w:cstheme="majorHAnsi"/>
        </w:rPr>
        <w:t>etykietowani</w:t>
      </w:r>
      <w:r w:rsidR="00206EBB">
        <w:rPr>
          <w:rFonts w:asciiTheme="majorHAnsi" w:hAnsiTheme="majorHAnsi" w:cstheme="majorHAnsi"/>
        </w:rPr>
        <w:t>a</w:t>
      </w:r>
      <w:r w:rsidRPr="00D95447">
        <w:rPr>
          <w:rFonts w:asciiTheme="majorHAnsi" w:hAnsiTheme="majorHAnsi" w:cstheme="majorHAnsi"/>
        </w:rPr>
        <w:t xml:space="preserve"> i </w:t>
      </w:r>
      <w:r w:rsidR="00206EBB">
        <w:rPr>
          <w:rFonts w:asciiTheme="majorHAnsi" w:hAnsiTheme="majorHAnsi" w:cstheme="majorHAnsi"/>
        </w:rPr>
        <w:t xml:space="preserve">zmniejszeniem poziomu </w:t>
      </w:r>
      <w:r w:rsidRPr="00D95447">
        <w:rPr>
          <w:rFonts w:asciiTheme="majorHAnsi" w:hAnsiTheme="majorHAnsi" w:cstheme="majorHAnsi"/>
        </w:rPr>
        <w:t>włączeni</w:t>
      </w:r>
      <w:r w:rsidR="00206EBB">
        <w:rPr>
          <w:rFonts w:asciiTheme="majorHAnsi" w:hAnsiTheme="majorHAnsi" w:cstheme="majorHAnsi"/>
        </w:rPr>
        <w:t>a</w:t>
      </w:r>
      <w:r w:rsidRPr="00D95447">
        <w:rPr>
          <w:rFonts w:asciiTheme="majorHAnsi" w:hAnsiTheme="majorHAnsi" w:cstheme="majorHAnsi"/>
        </w:rPr>
        <w:t>, a także wyższymi kosztami (Europe</w:t>
      </w:r>
      <w:r w:rsidR="0078578A">
        <w:rPr>
          <w:rFonts w:asciiTheme="majorHAnsi" w:hAnsiTheme="majorHAnsi" w:cstheme="majorHAnsi"/>
        </w:rPr>
        <w:t>an</w:t>
      </w:r>
      <w:r w:rsidR="00F37A9E" w:rsidRPr="00F37A9E">
        <w:rPr>
          <w:rFonts w:asciiTheme="majorHAnsi" w:hAnsiTheme="majorHAnsi" w:cstheme="majorHAnsi"/>
        </w:rPr>
        <w:t xml:space="preserve"> </w:t>
      </w:r>
      <w:r w:rsidR="00F37A9E" w:rsidRPr="00D95447">
        <w:rPr>
          <w:rFonts w:asciiTheme="majorHAnsi" w:hAnsiTheme="majorHAnsi" w:cstheme="majorHAnsi"/>
        </w:rPr>
        <w:t>Agenc</w:t>
      </w:r>
      <w:r w:rsidR="0078578A">
        <w:rPr>
          <w:rFonts w:asciiTheme="majorHAnsi" w:hAnsiTheme="majorHAnsi" w:cstheme="majorHAnsi"/>
        </w:rPr>
        <w:t>y</w:t>
      </w:r>
      <w:r w:rsidRPr="00D95447">
        <w:rPr>
          <w:rFonts w:asciiTheme="majorHAnsi" w:hAnsiTheme="majorHAnsi" w:cstheme="majorHAnsi"/>
        </w:rPr>
        <w:t>, 2016a)</w:t>
      </w:r>
      <w:r w:rsidR="00586D41">
        <w:rPr>
          <w:rFonts w:asciiTheme="majorHAnsi" w:hAnsiTheme="majorHAnsi" w:cstheme="majorHAnsi"/>
        </w:rPr>
        <w:t>.</w:t>
      </w:r>
    </w:p>
    <w:p w14:paraId="0A552E00" w14:textId="10C3F11A" w:rsidR="00990E61" w:rsidRPr="00990941" w:rsidRDefault="00BE5A2A" w:rsidP="00D83FC8">
      <w:pPr>
        <w:pStyle w:val="Agency-body-text"/>
        <w:jc w:val="both"/>
      </w:pPr>
      <w:r w:rsidRPr="00BE5A2A">
        <w:t xml:space="preserve">Podczas konsultacji </w:t>
      </w:r>
      <w:r>
        <w:t xml:space="preserve">ich </w:t>
      </w:r>
      <w:r w:rsidRPr="00BE5A2A">
        <w:t xml:space="preserve">uczestnicy wyrazili również obawę, że do poprawy wsparcia, w szczególności uczniów </w:t>
      </w:r>
      <w:r w:rsidR="00D83FC8">
        <w:t xml:space="preserve">posiadających </w:t>
      </w:r>
      <w:r w:rsidRPr="00BE5A2A">
        <w:t>bardziej złożon</w:t>
      </w:r>
      <w:r w:rsidR="00D83FC8">
        <w:t>e</w:t>
      </w:r>
      <w:r w:rsidRPr="00BE5A2A">
        <w:t xml:space="preserve"> potrzeb</w:t>
      </w:r>
      <w:r w:rsidR="00D83FC8">
        <w:t>y</w:t>
      </w:r>
      <w:r w:rsidRPr="00BE5A2A">
        <w:t>, potrzebna będzie większa liczba specjalist</w:t>
      </w:r>
      <w:r>
        <w:t>ów</w:t>
      </w:r>
      <w:r w:rsidRPr="00BE5A2A">
        <w:t>. Finansowanie musi zatem uwzględniać wyspecjalizowan</w:t>
      </w:r>
      <w:r>
        <w:t>ą</w:t>
      </w:r>
      <w:r w:rsidRPr="00BE5A2A">
        <w:t xml:space="preserve"> </w:t>
      </w:r>
      <w:r>
        <w:t xml:space="preserve">kadrę </w:t>
      </w:r>
      <w:r w:rsidRPr="00BE5A2A">
        <w:t xml:space="preserve">w szkołach, jak również czas i środki </w:t>
      </w:r>
      <w:r w:rsidR="00A76C34">
        <w:t xml:space="preserve">przeznaczone </w:t>
      </w:r>
      <w:r w:rsidRPr="00BE5A2A">
        <w:t xml:space="preserve">na współpracę z personelem </w:t>
      </w:r>
      <w:r>
        <w:t xml:space="preserve">zatrudnionym </w:t>
      </w:r>
      <w:r w:rsidRPr="00BE5A2A">
        <w:t>w placówkach specjalnych, centrach zasobów it</w:t>
      </w:r>
      <w:r w:rsidR="00D83FC8">
        <w:t>p</w:t>
      </w:r>
      <w:r w:rsidR="001177BB">
        <w:t>.</w:t>
      </w:r>
      <w:r w:rsidRPr="00BE5A2A">
        <w:t xml:space="preserve"> Finansowanie placówek specjalnych w celu wspierania szkół ogólnodostępnych powinno unikać utrwalania medycznego podejścia do niepełnosprawności i </w:t>
      </w:r>
      <w:r w:rsidR="00C43C83">
        <w:t xml:space="preserve">opierać się na </w:t>
      </w:r>
      <w:r w:rsidRPr="00BE5A2A">
        <w:t>jasny</w:t>
      </w:r>
      <w:r w:rsidR="00C43C83">
        <w:t>m</w:t>
      </w:r>
      <w:r w:rsidRPr="00BE5A2A">
        <w:t xml:space="preserve"> plan</w:t>
      </w:r>
      <w:r w:rsidR="00C43C83">
        <w:t>ie</w:t>
      </w:r>
      <w:r w:rsidRPr="00BE5A2A">
        <w:t xml:space="preserve"> działania na rzecz eliminacji równoległych systemów </w:t>
      </w:r>
      <w:r w:rsidR="005F7B30" w:rsidRPr="00990941">
        <w:t>(</w:t>
      </w:r>
      <w:r w:rsidR="006D149F">
        <w:t xml:space="preserve">European </w:t>
      </w:r>
      <w:r w:rsidR="005F7B30" w:rsidRPr="00990941">
        <w:t>Agency</w:t>
      </w:r>
      <w:r w:rsidR="006D149F">
        <w:t>,</w:t>
      </w:r>
      <w:r w:rsidR="005F7B30" w:rsidRPr="00990941">
        <w:t xml:space="preserve"> 2018a)</w:t>
      </w:r>
      <w:r w:rsidR="00990941">
        <w:t>.</w:t>
      </w:r>
    </w:p>
    <w:p w14:paraId="6FA509FC" w14:textId="0112550E" w:rsidR="00717A46" w:rsidRDefault="00BE5A2A" w:rsidP="00D83FC8">
      <w:pPr>
        <w:pStyle w:val="Agency-body-text"/>
        <w:jc w:val="both"/>
      </w:pPr>
      <w:r w:rsidRPr="00BE5A2A">
        <w:t xml:space="preserve">Mechanizmy finansowania muszą być powiązane z </w:t>
      </w:r>
      <w:r>
        <w:t xml:space="preserve">osiągnięciami </w:t>
      </w:r>
      <w:r w:rsidRPr="00BE5A2A">
        <w:t>osób uczących się i skupiać uwagę na ich postępach, a nie tylko zapewniać dostęp (n</w:t>
      </w:r>
      <w:r w:rsidR="00D83FC8">
        <w:t>p</w:t>
      </w:r>
      <w:r w:rsidR="001177BB">
        <w:t>.</w:t>
      </w:r>
      <w:r w:rsidR="00D83FC8">
        <w:t>:</w:t>
      </w:r>
      <w:r w:rsidRPr="00BE5A2A">
        <w:t xml:space="preserve"> umieszczenie</w:t>
      </w:r>
      <w:r>
        <w:t xml:space="preserve"> ucznia w szkole ogólnodostępnej</w:t>
      </w:r>
      <w:r w:rsidRPr="00BE5A2A">
        <w:t xml:space="preserve">) i uczestnictwo w zajęciach bez </w:t>
      </w:r>
      <w:r>
        <w:t xml:space="preserve">faktycznego </w:t>
      </w:r>
      <w:r w:rsidRPr="00BE5A2A">
        <w:t>uczenia się. Rozważania na temat takich mechanizmów powinny obejmować następujące elementy</w:t>
      </w:r>
      <w:r w:rsidR="00717A46">
        <w:t>:</w:t>
      </w:r>
    </w:p>
    <w:p w14:paraId="7E91393D" w14:textId="143BD10D" w:rsidR="00717A46" w:rsidRDefault="00B92257" w:rsidP="00086AEA">
      <w:pPr>
        <w:pStyle w:val="Agency-body-text"/>
        <w:numPr>
          <w:ilvl w:val="0"/>
          <w:numId w:val="20"/>
        </w:numPr>
      </w:pPr>
      <w:r>
        <w:rPr>
          <w:i/>
          <w:iCs/>
        </w:rPr>
        <w:t>r</w:t>
      </w:r>
      <w:r w:rsidR="00BE5A2A">
        <w:rPr>
          <w:i/>
          <w:iCs/>
        </w:rPr>
        <w:t>ówny dostęp</w:t>
      </w:r>
      <w:r w:rsidR="008E2739">
        <w:rPr>
          <w:i/>
          <w:iCs/>
        </w:rPr>
        <w:t>,</w:t>
      </w:r>
    </w:p>
    <w:p w14:paraId="043124D6" w14:textId="55CFA4F5" w:rsidR="00717A46" w:rsidRPr="00BE5A2A" w:rsidRDefault="00B92257" w:rsidP="00086AEA">
      <w:pPr>
        <w:pStyle w:val="Agency-body-text"/>
        <w:numPr>
          <w:ilvl w:val="0"/>
          <w:numId w:val="20"/>
        </w:numPr>
      </w:pPr>
      <w:r>
        <w:rPr>
          <w:i/>
          <w:iCs/>
        </w:rPr>
        <w:t>r</w:t>
      </w:r>
      <w:r w:rsidR="00BE5A2A" w:rsidRPr="00BE5A2A">
        <w:rPr>
          <w:i/>
          <w:iCs/>
        </w:rPr>
        <w:t>ówną dystrybucję możl</w:t>
      </w:r>
      <w:r w:rsidR="00BE5A2A">
        <w:rPr>
          <w:i/>
          <w:iCs/>
        </w:rPr>
        <w:t>i</w:t>
      </w:r>
      <w:r w:rsidR="00BE5A2A" w:rsidRPr="00BE5A2A">
        <w:rPr>
          <w:i/>
          <w:iCs/>
        </w:rPr>
        <w:t xml:space="preserve">wości uczenia się oraz adekwatne wsparcie, </w:t>
      </w:r>
    </w:p>
    <w:p w14:paraId="68C12DB9" w14:textId="19F82A0E" w:rsidR="00717A46" w:rsidRPr="00BE5A2A" w:rsidRDefault="00B92257" w:rsidP="00086AEA">
      <w:pPr>
        <w:pStyle w:val="Agency-body-text"/>
        <w:numPr>
          <w:ilvl w:val="0"/>
          <w:numId w:val="20"/>
        </w:numPr>
      </w:pPr>
      <w:r>
        <w:rPr>
          <w:i/>
          <w:iCs/>
        </w:rPr>
        <w:t>r</w:t>
      </w:r>
      <w:r w:rsidR="00BE5A2A" w:rsidRPr="00BE5A2A">
        <w:rPr>
          <w:i/>
          <w:iCs/>
        </w:rPr>
        <w:t>ówne s</w:t>
      </w:r>
      <w:r w:rsidR="00BE5A2A">
        <w:rPr>
          <w:i/>
          <w:iCs/>
        </w:rPr>
        <w:t>za</w:t>
      </w:r>
      <w:r w:rsidR="00BE5A2A" w:rsidRPr="00BE5A2A">
        <w:rPr>
          <w:i/>
          <w:iCs/>
        </w:rPr>
        <w:t>nse i możliwości osiągania sukcesu edukacyjnego i społecznego</w:t>
      </w:r>
      <w:r w:rsidR="00A76C34">
        <w:rPr>
          <w:i/>
          <w:iCs/>
        </w:rPr>
        <w:t>,</w:t>
      </w:r>
      <w:r w:rsidR="00BE5A2A" w:rsidRPr="00BE5A2A">
        <w:rPr>
          <w:i/>
          <w:iCs/>
        </w:rPr>
        <w:t xml:space="preserve"> jak również możliwości </w:t>
      </w:r>
      <w:r w:rsidR="00BE5A2A">
        <w:rPr>
          <w:i/>
          <w:iCs/>
        </w:rPr>
        <w:t>prze</w:t>
      </w:r>
      <w:r w:rsidR="00D83FC8">
        <w:rPr>
          <w:i/>
          <w:iCs/>
        </w:rPr>
        <w:t>chodzenia</w:t>
      </w:r>
      <w:r w:rsidR="008E2739" w:rsidRPr="00BE5A2A">
        <w:rPr>
          <w:i/>
          <w:iCs/>
        </w:rPr>
        <w:t>,</w:t>
      </w:r>
    </w:p>
    <w:p w14:paraId="4575ACBC" w14:textId="6FDA5042" w:rsidR="005F7B30" w:rsidRPr="00013404" w:rsidRDefault="00B92257" w:rsidP="00086AEA">
      <w:pPr>
        <w:pStyle w:val="Agency-body-text"/>
        <w:numPr>
          <w:ilvl w:val="0"/>
          <w:numId w:val="20"/>
        </w:numPr>
      </w:pPr>
      <w:r>
        <w:rPr>
          <w:i/>
          <w:iCs/>
        </w:rPr>
        <w:t>r</w:t>
      </w:r>
      <w:r w:rsidR="00A90CB2" w:rsidRPr="00A90CB2">
        <w:rPr>
          <w:i/>
          <w:iCs/>
        </w:rPr>
        <w:t xml:space="preserve">ówność w osiąganiu niezależności osobistej w trakcie i po zakończeniu edukacji formalnej oraz możliwości </w:t>
      </w:r>
      <w:r w:rsidR="00996597">
        <w:rPr>
          <w:i/>
          <w:iCs/>
        </w:rPr>
        <w:t>zapewniania uczestnictwa</w:t>
      </w:r>
      <w:r w:rsidR="00A90CB2" w:rsidRPr="00A90CB2">
        <w:rPr>
          <w:i/>
          <w:iCs/>
        </w:rPr>
        <w:t xml:space="preserve"> uczniów</w:t>
      </w:r>
      <w:r w:rsidR="00112B3C">
        <w:rPr>
          <w:i/>
          <w:iCs/>
        </w:rPr>
        <w:t xml:space="preserve"> posiadających specjalne potrzeby edukacyjne</w:t>
      </w:r>
      <w:r w:rsidR="00A90CB2" w:rsidRPr="00A90CB2">
        <w:rPr>
          <w:i/>
          <w:iCs/>
        </w:rPr>
        <w:t xml:space="preserve">, które wspierają ich </w:t>
      </w:r>
      <w:r w:rsidR="00112B3C">
        <w:rPr>
          <w:i/>
          <w:iCs/>
        </w:rPr>
        <w:t>włączenie społeczne</w:t>
      </w:r>
      <w:r w:rsidR="00A90CB2" w:rsidRPr="00A90CB2">
        <w:rPr>
          <w:i/>
          <w:iCs/>
        </w:rPr>
        <w:t xml:space="preserve"> </w:t>
      </w:r>
      <w:r w:rsidR="005F7B30">
        <w:t>(</w:t>
      </w:r>
      <w:r w:rsidR="00717A46">
        <w:t>European Agency,</w:t>
      </w:r>
      <w:r w:rsidR="005F7B30">
        <w:t xml:space="preserve"> 2011</w:t>
      </w:r>
      <w:r w:rsidR="00717A46">
        <w:t>,</w:t>
      </w:r>
      <w:r w:rsidR="00112B3C">
        <w:t xml:space="preserve"> str</w:t>
      </w:r>
      <w:r w:rsidR="004D4A30">
        <w:t xml:space="preserve">. </w:t>
      </w:r>
      <w:r w:rsidR="00990941">
        <w:t>56</w:t>
      </w:r>
      <w:r w:rsidR="004D4A30">
        <w:t>)</w:t>
      </w:r>
      <w:r w:rsidR="005420D0">
        <w:t>.</w:t>
      </w:r>
    </w:p>
    <w:p w14:paraId="223C0315" w14:textId="70F5BAFE" w:rsidR="00336F22" w:rsidRDefault="00A11904" w:rsidP="00D83FC8">
      <w:pPr>
        <w:pStyle w:val="Agency-body-text"/>
        <w:jc w:val="both"/>
      </w:pPr>
      <w:r w:rsidRPr="00A11904">
        <w:t xml:space="preserve">Ponieważ wyniki uczniów są ściśle </w:t>
      </w:r>
      <w:r>
        <w:t>po</w:t>
      </w:r>
      <w:r w:rsidRPr="00A11904">
        <w:t xml:space="preserve">wiązane z umiejętnościami i </w:t>
      </w:r>
      <w:r w:rsidR="00B92257">
        <w:t>możliwościami</w:t>
      </w:r>
      <w:r w:rsidR="00B92257" w:rsidRPr="00A11904">
        <w:t xml:space="preserve"> </w:t>
      </w:r>
      <w:r w:rsidRPr="00A11904">
        <w:t>nauczycieli, priorytetem jest finansowanie kształcenia i doskonalenia zawodowego nauczycieli. Wysoka jakość nauczania jest kluczem do osiągnięć uczniów, zwłaszcza tych, którzy napotykają na przeszkody w uczeniu się. Z tego powodu</w:t>
      </w:r>
      <w:r w:rsidRPr="00A11904">
        <w:rPr>
          <w:i/>
          <w:iCs/>
        </w:rPr>
        <w:t xml:space="preserve"> </w:t>
      </w:r>
      <w:r>
        <w:rPr>
          <w:i/>
          <w:iCs/>
        </w:rPr>
        <w:t>„alokacja</w:t>
      </w:r>
      <w:r w:rsidRPr="00A11904">
        <w:rPr>
          <w:i/>
          <w:iCs/>
        </w:rPr>
        <w:t xml:space="preserve"> środków na wsparcie rekrutacji, </w:t>
      </w:r>
      <w:r w:rsidR="00B92257">
        <w:rPr>
          <w:i/>
          <w:iCs/>
        </w:rPr>
        <w:t xml:space="preserve">utrzymania </w:t>
      </w:r>
      <w:r>
        <w:rPr>
          <w:i/>
          <w:iCs/>
        </w:rPr>
        <w:t xml:space="preserve">w zawodzie </w:t>
      </w:r>
      <w:r w:rsidRPr="00A11904">
        <w:rPr>
          <w:i/>
          <w:iCs/>
        </w:rPr>
        <w:t xml:space="preserve">i </w:t>
      </w:r>
      <w:r w:rsidR="00D83FC8">
        <w:rPr>
          <w:i/>
          <w:iCs/>
        </w:rPr>
        <w:t xml:space="preserve">doskonalenia zawodowego </w:t>
      </w:r>
      <w:r w:rsidRPr="00A11904">
        <w:rPr>
          <w:i/>
          <w:iCs/>
        </w:rPr>
        <w:t xml:space="preserve">dobrych nauczycieli </w:t>
      </w:r>
      <w:r w:rsidR="00B157AD">
        <w:rPr>
          <w:i/>
          <w:iCs/>
        </w:rPr>
        <w:t>oraz</w:t>
      </w:r>
      <w:r w:rsidRPr="00A11904">
        <w:rPr>
          <w:i/>
          <w:iCs/>
        </w:rPr>
        <w:t xml:space="preserve"> liderów ma zasadnicze znaczenie dla rozwoju skutecznego systemu </w:t>
      </w:r>
      <w:r>
        <w:rPr>
          <w:i/>
          <w:iCs/>
        </w:rPr>
        <w:t>włączającego”</w:t>
      </w:r>
      <w:r w:rsidR="00717A46" w:rsidRPr="00717A46">
        <w:rPr>
          <w:i/>
          <w:iCs/>
        </w:rPr>
        <w:t xml:space="preserve"> </w:t>
      </w:r>
      <w:r w:rsidR="00717A46">
        <w:t>(Barrett, 2014</w:t>
      </w:r>
      <w:r w:rsidR="008E2739">
        <w:t>,</w:t>
      </w:r>
      <w:r w:rsidR="00717A46">
        <w:t xml:space="preserve"> </w:t>
      </w:r>
      <w:r>
        <w:t>str.</w:t>
      </w:r>
      <w:r w:rsidR="008E2739">
        <w:t xml:space="preserve"> </w:t>
      </w:r>
      <w:r w:rsidR="003008BF" w:rsidRPr="003008BF">
        <w:t>81</w:t>
      </w:r>
      <w:r w:rsidR="00717A46">
        <w:t>)</w:t>
      </w:r>
      <w:r w:rsidR="005420D0">
        <w:t>.</w:t>
      </w:r>
    </w:p>
    <w:bookmarkEnd w:id="11"/>
    <w:bookmarkEnd w:id="12"/>
    <w:p w14:paraId="32A9EF68" w14:textId="3E903C60" w:rsidR="00336F22" w:rsidRPr="00C03864" w:rsidRDefault="00A11904" w:rsidP="00D83FC8">
      <w:pPr>
        <w:pStyle w:val="Agency-body-text"/>
        <w:jc w:val="both"/>
        <w:rPr>
          <w:rFonts w:asciiTheme="majorHAnsi" w:hAnsiTheme="majorHAnsi" w:cstheme="majorHAnsi"/>
          <w:szCs w:val="24"/>
        </w:rPr>
      </w:pPr>
      <w:r w:rsidRPr="00A11904">
        <w:rPr>
          <w:rFonts w:asciiTheme="majorHAnsi" w:hAnsiTheme="majorHAnsi" w:cstheme="majorHAnsi"/>
          <w:szCs w:val="24"/>
        </w:rPr>
        <w:t xml:space="preserve">Wdrożenie modelu MEiN </w:t>
      </w:r>
      <w:r>
        <w:rPr>
          <w:rFonts w:asciiTheme="majorHAnsi" w:hAnsiTheme="majorHAnsi" w:cstheme="majorHAnsi"/>
          <w:szCs w:val="24"/>
        </w:rPr>
        <w:t>„</w:t>
      </w:r>
      <w:r w:rsidRPr="00A11904">
        <w:rPr>
          <w:rFonts w:asciiTheme="majorHAnsi" w:hAnsiTheme="majorHAnsi" w:cstheme="majorHAnsi"/>
          <w:szCs w:val="24"/>
        </w:rPr>
        <w:t>Edukacja dla wszystkich</w:t>
      </w:r>
      <w:r>
        <w:rPr>
          <w:rFonts w:asciiTheme="majorHAnsi" w:hAnsiTheme="majorHAnsi" w:cstheme="majorHAnsi"/>
          <w:szCs w:val="24"/>
        </w:rPr>
        <w:t>”</w:t>
      </w:r>
      <w:r w:rsidRPr="00A11904">
        <w:rPr>
          <w:rFonts w:asciiTheme="majorHAnsi" w:hAnsiTheme="majorHAnsi" w:cstheme="majorHAnsi"/>
          <w:szCs w:val="24"/>
        </w:rPr>
        <w:t xml:space="preserve"> stwarza możliwości zwiększenia autonomii i elastyczności w ramach systemu finansowania i alokacji zasobów w celu zwiększenia równości szans oraz wspierania szerszej współpracy i partnerstwa w celu maksymalizacji efektywnego wykorzystania funduszy.</w:t>
      </w:r>
    </w:p>
    <w:p w14:paraId="7EBD2D60" w14:textId="3518C7DB" w:rsidR="001F33B6" w:rsidRPr="00E47C30" w:rsidRDefault="004E3BEF" w:rsidP="001F33B6">
      <w:pPr>
        <w:pStyle w:val="Agency-heading-2"/>
      </w:pPr>
      <w:bookmarkStart w:id="14" w:name="_Toc71542596"/>
      <w:r>
        <w:t>Założenie</w:t>
      </w:r>
      <w:r w:rsidR="001F33B6">
        <w:t xml:space="preserve"> 4</w:t>
      </w:r>
      <w:bookmarkEnd w:id="14"/>
      <w:r w:rsidR="00D83FC8">
        <w:t>.</w:t>
      </w:r>
    </w:p>
    <w:p w14:paraId="3777261A" w14:textId="6B6DF400" w:rsidR="00336F22" w:rsidRPr="002F5CE1" w:rsidRDefault="00A11904" w:rsidP="00D83FC8">
      <w:pPr>
        <w:pStyle w:val="Agency-body-text"/>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jc w:val="both"/>
        <w:rPr>
          <w:b/>
          <w:szCs w:val="24"/>
        </w:rPr>
      </w:pPr>
      <w:r w:rsidRPr="002F5CE1">
        <w:rPr>
          <w:b/>
          <w:iCs/>
          <w:szCs w:val="24"/>
        </w:rPr>
        <w:t xml:space="preserve">Wysoka jakość kształcenia przyszłych nauczycieli i </w:t>
      </w:r>
      <w:r w:rsidR="00B157AD">
        <w:rPr>
          <w:b/>
          <w:iCs/>
          <w:szCs w:val="24"/>
        </w:rPr>
        <w:t xml:space="preserve">ustawiczny </w:t>
      </w:r>
      <w:r w:rsidRPr="002F5CE1">
        <w:rPr>
          <w:b/>
          <w:iCs/>
          <w:szCs w:val="24"/>
        </w:rPr>
        <w:t xml:space="preserve">rozwój zawodowy (w tym </w:t>
      </w:r>
      <w:r w:rsidR="002F5CE1" w:rsidRPr="002F5CE1">
        <w:rPr>
          <w:b/>
          <w:iCs/>
          <w:szCs w:val="24"/>
        </w:rPr>
        <w:t xml:space="preserve">rozwój </w:t>
      </w:r>
      <w:r w:rsidRPr="002F5CE1">
        <w:rPr>
          <w:b/>
          <w:iCs/>
          <w:szCs w:val="24"/>
        </w:rPr>
        <w:t>postaw, wiedz</w:t>
      </w:r>
      <w:r w:rsidR="002F5CE1" w:rsidRPr="002F5CE1">
        <w:rPr>
          <w:b/>
          <w:iCs/>
          <w:szCs w:val="24"/>
        </w:rPr>
        <w:t>y</w:t>
      </w:r>
      <w:r w:rsidRPr="002F5CE1">
        <w:rPr>
          <w:b/>
          <w:iCs/>
          <w:szCs w:val="24"/>
        </w:rPr>
        <w:t xml:space="preserve">, kompetencji i umiejętności) umożliwią liderom szkół i nauczycielom </w:t>
      </w:r>
      <w:r w:rsidR="002F5CE1" w:rsidRPr="002F5CE1">
        <w:rPr>
          <w:b/>
          <w:iCs/>
          <w:szCs w:val="24"/>
        </w:rPr>
        <w:t xml:space="preserve">stosowanie </w:t>
      </w:r>
      <w:r w:rsidRPr="002F5CE1">
        <w:rPr>
          <w:b/>
          <w:iCs/>
          <w:szCs w:val="24"/>
        </w:rPr>
        <w:t>spersonalizowane</w:t>
      </w:r>
      <w:r w:rsidR="002F5CE1" w:rsidRPr="002F5CE1">
        <w:rPr>
          <w:b/>
          <w:iCs/>
          <w:szCs w:val="24"/>
        </w:rPr>
        <w:t>go</w:t>
      </w:r>
      <w:r w:rsidRPr="002F5CE1">
        <w:rPr>
          <w:b/>
          <w:iCs/>
          <w:szCs w:val="24"/>
        </w:rPr>
        <w:t xml:space="preserve"> podejści</w:t>
      </w:r>
      <w:r w:rsidR="002F5CE1" w:rsidRPr="002F5CE1">
        <w:rPr>
          <w:b/>
          <w:iCs/>
          <w:szCs w:val="24"/>
        </w:rPr>
        <w:t>a</w:t>
      </w:r>
      <w:r w:rsidRPr="002F5CE1">
        <w:rPr>
          <w:b/>
          <w:iCs/>
          <w:szCs w:val="24"/>
        </w:rPr>
        <w:t xml:space="preserve"> do uczenia się oraz zapewnienie </w:t>
      </w:r>
      <w:r w:rsidRPr="002F5CE1">
        <w:rPr>
          <w:b/>
          <w:iCs/>
          <w:szCs w:val="24"/>
        </w:rPr>
        <w:lastRenderedPageBreak/>
        <w:t xml:space="preserve">wsparcia wszystkim osobom uczącym się w celu </w:t>
      </w:r>
      <w:r w:rsidR="002F5CE1" w:rsidRPr="002F5CE1">
        <w:rPr>
          <w:b/>
          <w:iCs/>
          <w:szCs w:val="24"/>
        </w:rPr>
        <w:t xml:space="preserve">podniesienia poziomu ich osiągnięć </w:t>
      </w:r>
      <w:r w:rsidR="00B157AD">
        <w:rPr>
          <w:b/>
          <w:iCs/>
          <w:szCs w:val="24"/>
        </w:rPr>
        <w:t xml:space="preserve">zarówno w dziedzinie edukacji jak </w:t>
      </w:r>
      <w:r w:rsidR="002F5CE1" w:rsidRPr="002F5CE1">
        <w:rPr>
          <w:b/>
          <w:iCs/>
          <w:szCs w:val="24"/>
        </w:rPr>
        <w:t xml:space="preserve">i w innych </w:t>
      </w:r>
      <w:r w:rsidR="00B157AD">
        <w:rPr>
          <w:b/>
          <w:iCs/>
          <w:szCs w:val="24"/>
        </w:rPr>
        <w:t>obszar</w:t>
      </w:r>
      <w:r w:rsidR="002F5CE1" w:rsidRPr="002F5CE1">
        <w:rPr>
          <w:b/>
          <w:iCs/>
          <w:szCs w:val="24"/>
        </w:rPr>
        <w:t xml:space="preserve">ach. </w:t>
      </w:r>
    </w:p>
    <w:p w14:paraId="70FD9167" w14:textId="7C7A4CEB" w:rsidR="00336F22" w:rsidRPr="00331B31" w:rsidRDefault="00331B31" w:rsidP="00691A7E">
      <w:pPr>
        <w:pStyle w:val="Agency-body-text"/>
        <w:jc w:val="both"/>
        <w:rPr>
          <w:b/>
          <w:bCs/>
        </w:rPr>
      </w:pPr>
      <w:r w:rsidRPr="00331B31">
        <w:rPr>
          <w:b/>
          <w:bCs/>
        </w:rPr>
        <w:t>D</w:t>
      </w:r>
      <w:r>
        <w:rPr>
          <w:b/>
          <w:bCs/>
        </w:rPr>
        <w:t xml:space="preserve">zięki </w:t>
      </w:r>
      <w:r w:rsidRPr="00331B31">
        <w:rPr>
          <w:b/>
          <w:bCs/>
        </w:rPr>
        <w:t>kształceni</w:t>
      </w:r>
      <w:r>
        <w:rPr>
          <w:b/>
          <w:bCs/>
        </w:rPr>
        <w:t>u</w:t>
      </w:r>
      <w:r w:rsidRPr="00331B31">
        <w:rPr>
          <w:b/>
          <w:bCs/>
        </w:rPr>
        <w:t xml:space="preserve"> nauczycieli i </w:t>
      </w:r>
      <w:r w:rsidR="00656E72">
        <w:rPr>
          <w:b/>
          <w:bCs/>
        </w:rPr>
        <w:t xml:space="preserve">ich </w:t>
      </w:r>
      <w:r w:rsidRPr="00331B31">
        <w:rPr>
          <w:b/>
          <w:bCs/>
        </w:rPr>
        <w:t>praktyczne</w:t>
      </w:r>
      <w:r>
        <w:rPr>
          <w:b/>
          <w:bCs/>
        </w:rPr>
        <w:t xml:space="preserve">mu doskonaleniu </w:t>
      </w:r>
      <w:r w:rsidRPr="00331B31">
        <w:rPr>
          <w:b/>
          <w:bCs/>
        </w:rPr>
        <w:t>zawodowe</w:t>
      </w:r>
      <w:r>
        <w:rPr>
          <w:b/>
          <w:bCs/>
        </w:rPr>
        <w:t>mu</w:t>
      </w:r>
      <w:r w:rsidRPr="00331B31">
        <w:rPr>
          <w:b/>
          <w:bCs/>
        </w:rPr>
        <w:t xml:space="preserve"> (n</w:t>
      </w:r>
      <w:r w:rsidR="00B94F67">
        <w:rPr>
          <w:b/>
          <w:bCs/>
        </w:rPr>
        <w:t>p</w:t>
      </w:r>
      <w:r w:rsidR="001177BB">
        <w:rPr>
          <w:b/>
          <w:bCs/>
        </w:rPr>
        <w:t>.</w:t>
      </w:r>
      <w:r w:rsidR="00B94F67">
        <w:rPr>
          <w:b/>
          <w:bCs/>
        </w:rPr>
        <w:t>:</w:t>
      </w:r>
      <w:r w:rsidRPr="00331B31">
        <w:rPr>
          <w:b/>
          <w:bCs/>
        </w:rPr>
        <w:t xml:space="preserve"> uczenie się </w:t>
      </w:r>
      <w:r>
        <w:rPr>
          <w:b/>
          <w:bCs/>
        </w:rPr>
        <w:t>od siebie nawzajem oraz</w:t>
      </w:r>
      <w:r w:rsidRPr="00331B31">
        <w:rPr>
          <w:b/>
          <w:bCs/>
        </w:rPr>
        <w:t xml:space="preserve"> tworzenie sieci </w:t>
      </w:r>
      <w:r>
        <w:rPr>
          <w:b/>
          <w:bCs/>
        </w:rPr>
        <w:t xml:space="preserve">współpracy </w:t>
      </w:r>
      <w:r w:rsidRPr="00331B31">
        <w:rPr>
          <w:b/>
          <w:bCs/>
        </w:rPr>
        <w:t>w szkołach i na uczelniach oraz między</w:t>
      </w:r>
      <w:r w:rsidR="00656E72">
        <w:rPr>
          <w:b/>
          <w:bCs/>
        </w:rPr>
        <w:t xml:space="preserve"> tymi instytucjami</w:t>
      </w:r>
      <w:r w:rsidRPr="00331B31">
        <w:rPr>
          <w:b/>
          <w:bCs/>
        </w:rPr>
        <w:t>) dyrektorzy szkół i nauczyciele powinni opracować szereg</w:t>
      </w:r>
      <w:r w:rsidR="00A76C34">
        <w:rPr>
          <w:b/>
          <w:bCs/>
        </w:rPr>
        <w:t>,</w:t>
      </w:r>
      <w:r w:rsidRPr="00331B31">
        <w:rPr>
          <w:b/>
          <w:bCs/>
        </w:rPr>
        <w:t xml:space="preserve"> opartych na dowodach</w:t>
      </w:r>
      <w:r w:rsidR="00A76C34">
        <w:rPr>
          <w:b/>
          <w:bCs/>
        </w:rPr>
        <w:t>,</w:t>
      </w:r>
      <w:r w:rsidRPr="00331B31">
        <w:rPr>
          <w:b/>
          <w:bCs/>
        </w:rPr>
        <w:t xml:space="preserve"> strategii oceny wszystkich uczniów, zapewnić </w:t>
      </w:r>
      <w:r>
        <w:rPr>
          <w:b/>
          <w:bCs/>
        </w:rPr>
        <w:t xml:space="preserve">im </w:t>
      </w:r>
      <w:r w:rsidRPr="00331B31">
        <w:rPr>
          <w:b/>
          <w:bCs/>
        </w:rPr>
        <w:t xml:space="preserve">dostęp do programu nauczania poprzez elastyczne metody </w:t>
      </w:r>
      <w:r>
        <w:rPr>
          <w:b/>
          <w:bCs/>
        </w:rPr>
        <w:t xml:space="preserve">kształcenia </w:t>
      </w:r>
      <w:r w:rsidRPr="00331B31">
        <w:rPr>
          <w:b/>
          <w:bCs/>
        </w:rPr>
        <w:t>i uczenia się oraz współpracować z rodzicami i innymi specjalistami w celu pokonania wszelkich barier.</w:t>
      </w:r>
    </w:p>
    <w:p w14:paraId="2E21B599" w14:textId="4256BACC" w:rsidR="00691A7E" w:rsidRPr="00691A7E" w:rsidRDefault="00691A7E" w:rsidP="00691A7E">
      <w:pPr>
        <w:pStyle w:val="Agency-body-text"/>
        <w:jc w:val="both"/>
      </w:pPr>
      <w:r w:rsidRPr="00691A7E">
        <w:t>Aby zapewnić wysok</w:t>
      </w:r>
      <w:r>
        <w:t>i poziom</w:t>
      </w:r>
      <w:r w:rsidRPr="00691A7E">
        <w:t xml:space="preserve"> </w:t>
      </w:r>
      <w:r w:rsidR="00B94F67">
        <w:t xml:space="preserve">kompetencji </w:t>
      </w:r>
      <w:r w:rsidRPr="00691A7E">
        <w:t xml:space="preserve">osób rozpoczynających pracę w zawodzie nauczyciela, należy zająć się kwestią statusu, wynagrodzenia i warunków pracy nauczycieli </w:t>
      </w:r>
      <w:r>
        <w:t>oraz</w:t>
      </w:r>
      <w:r w:rsidRPr="00691A7E">
        <w:t xml:space="preserve"> dyrektorów szkół, tak by </w:t>
      </w:r>
      <w:r>
        <w:t xml:space="preserve">funkcje te cieszyły się coraz większym </w:t>
      </w:r>
      <w:r w:rsidR="00A76C34">
        <w:t xml:space="preserve">poszanowaniem </w:t>
      </w:r>
      <w:r>
        <w:t>społecznym</w:t>
      </w:r>
      <w:r w:rsidRPr="00691A7E">
        <w:t xml:space="preserve">. Należy </w:t>
      </w:r>
      <w:r>
        <w:t xml:space="preserve">zapewnić </w:t>
      </w:r>
      <w:r w:rsidR="00656E72">
        <w:t xml:space="preserve">pracownikom </w:t>
      </w:r>
      <w:r w:rsidRPr="00691A7E">
        <w:t xml:space="preserve">wsparcie i rozwój zawodowy, by </w:t>
      </w:r>
      <w:r>
        <w:t xml:space="preserve">rozwijać </w:t>
      </w:r>
      <w:r w:rsidR="00656E72">
        <w:t xml:space="preserve">ich </w:t>
      </w:r>
      <w:r w:rsidRPr="00691A7E">
        <w:t xml:space="preserve">kompetencje i </w:t>
      </w:r>
      <w:r>
        <w:t xml:space="preserve">zwiększyć </w:t>
      </w:r>
      <w:r w:rsidRPr="00691A7E">
        <w:t xml:space="preserve">satysfakcję z pracy, tak by pozostawali </w:t>
      </w:r>
      <w:r w:rsidR="00656E72">
        <w:t xml:space="preserve">oni </w:t>
      </w:r>
      <w:r w:rsidRPr="00691A7E">
        <w:t xml:space="preserve">na </w:t>
      </w:r>
      <w:r w:rsidR="00BC248A">
        <w:t xml:space="preserve">swoich </w:t>
      </w:r>
      <w:r w:rsidRPr="00691A7E">
        <w:t xml:space="preserve">stanowiskach, a </w:t>
      </w:r>
      <w:r>
        <w:t xml:space="preserve">ich </w:t>
      </w:r>
      <w:r w:rsidRPr="00691A7E">
        <w:t>doświadczenie i wiedza specjalistyczna były zachowane.</w:t>
      </w:r>
    </w:p>
    <w:p w14:paraId="5E406787" w14:textId="70F313F4" w:rsidR="00691A7E" w:rsidRPr="00691A7E" w:rsidRDefault="00691A7E" w:rsidP="00691A7E">
      <w:pPr>
        <w:pStyle w:val="Agency-body-text"/>
        <w:jc w:val="both"/>
      </w:pPr>
      <w:r w:rsidRPr="00691A7E">
        <w:t>Rada Unii Europejskiej (</w:t>
      </w:r>
      <w:r w:rsidR="00AE366D">
        <w:t xml:space="preserve">Council of the European Union </w:t>
      </w:r>
      <w:r w:rsidRPr="00691A7E">
        <w:t>2020) jest świadoma potrzeby dalszego rozwijania kompetencji i autonomii zawodowej</w:t>
      </w:r>
      <w:r>
        <w:t xml:space="preserve"> nauczycieli</w:t>
      </w:r>
      <w:r w:rsidRPr="00691A7E">
        <w:t>, by sprostać wyzwaniom, przed którymi stoją. Do wyzwań tych należy</w:t>
      </w:r>
      <w:r>
        <w:t>,</w:t>
      </w:r>
      <w:r w:rsidRPr="00691A7E">
        <w:t xml:space="preserve"> m.in. wspieranie całościowego rozwoju uczniów o bardziej zróżnicowanych potrzebach edukacyjnych, </w:t>
      </w:r>
      <w:r>
        <w:t xml:space="preserve">w coraz większym zakresie </w:t>
      </w:r>
      <w:r w:rsidRPr="00691A7E">
        <w:t xml:space="preserve">stosowanie </w:t>
      </w:r>
      <w:r>
        <w:t xml:space="preserve">nauczania z wykorzystaniem technologii </w:t>
      </w:r>
      <w:r w:rsidR="00BC248A">
        <w:t xml:space="preserve">cyfrowych </w:t>
      </w:r>
      <w:r w:rsidRPr="00691A7E">
        <w:t xml:space="preserve">oraz potrzeba </w:t>
      </w:r>
      <w:r>
        <w:t xml:space="preserve">budowania </w:t>
      </w:r>
      <w:r w:rsidRPr="00691A7E">
        <w:t>konstruktywnych i wzajemnie wspierających się relacji z innymi zainteresowanymi stronami w szkołach i społecznościach</w:t>
      </w:r>
      <w:r>
        <w:t xml:space="preserve"> lokalnych</w:t>
      </w:r>
      <w:r w:rsidRPr="00691A7E">
        <w:t>.</w:t>
      </w:r>
    </w:p>
    <w:p w14:paraId="2E87DDEE" w14:textId="6C543B59" w:rsidR="00D34E4D" w:rsidRPr="00691A7E" w:rsidRDefault="00691A7E" w:rsidP="00691A7E">
      <w:pPr>
        <w:pStyle w:val="Agency-body-text"/>
        <w:jc w:val="both"/>
      </w:pPr>
      <w:r w:rsidRPr="00691A7E">
        <w:t xml:space="preserve">Rada podkreśla również potrzebę stworzenia kontinuum zawodowego, które </w:t>
      </w:r>
      <w:r>
        <w:t>„</w:t>
      </w:r>
      <w:r w:rsidRPr="00691A7E">
        <w:rPr>
          <w:i/>
          <w:iCs/>
        </w:rPr>
        <w:t>w sposób systematyczny obejmowałoby możliwości uczenia się związane z pracą w środowisku wielojęzycznym i wielokulturowym, pracą z uczniami o specjalnych potrzebach i pochodzących ze środowisk defaworyzowanych, pedagogiką cyfrową, zrównoważonym rozwojem i zdrowym stylem życia"</w:t>
      </w:r>
      <w:r w:rsidRPr="00691A7E">
        <w:t xml:space="preserve"> </w:t>
      </w:r>
      <w:r w:rsidR="005B0AA4" w:rsidRPr="00691A7E">
        <w:t>(</w:t>
      </w:r>
      <w:r w:rsidRPr="00691A7E">
        <w:t>str</w:t>
      </w:r>
      <w:r w:rsidR="00D34E4D" w:rsidRPr="00691A7E">
        <w:t>.</w:t>
      </w:r>
      <w:r w:rsidR="004D4A30" w:rsidRPr="00691A7E">
        <w:t xml:space="preserve"> </w:t>
      </w:r>
      <w:r w:rsidR="00D34E4D" w:rsidRPr="00691A7E">
        <w:t>5</w:t>
      </w:r>
      <w:r w:rsidR="005B0AA4" w:rsidRPr="00691A7E">
        <w:t>)</w:t>
      </w:r>
      <w:r w:rsidR="00D34E4D" w:rsidRPr="00691A7E">
        <w:t>.</w:t>
      </w:r>
    </w:p>
    <w:p w14:paraId="48629394" w14:textId="38515A8C" w:rsidR="00691A7E" w:rsidRPr="00691A7E" w:rsidRDefault="00691A7E" w:rsidP="00E43255">
      <w:pPr>
        <w:pStyle w:val="Agency-body-text"/>
        <w:jc w:val="both"/>
      </w:pPr>
      <w:r w:rsidRPr="00691A7E">
        <w:t>W prac</w:t>
      </w:r>
      <w:r>
        <w:t>ach</w:t>
      </w:r>
      <w:r w:rsidRPr="00691A7E">
        <w:t xml:space="preserve"> Europejskiej </w:t>
      </w:r>
      <w:r w:rsidR="00C34A2F" w:rsidRPr="00691A7E">
        <w:t xml:space="preserve">Agencji </w:t>
      </w:r>
      <w:r w:rsidRPr="00691A7E">
        <w:t>(</w:t>
      </w:r>
      <w:r w:rsidR="00AE366D">
        <w:t>European Agency</w:t>
      </w:r>
      <w:r w:rsidR="00AE366D" w:rsidRPr="00691A7E">
        <w:t xml:space="preserve"> </w:t>
      </w:r>
      <w:r w:rsidRPr="00691A7E">
        <w:t xml:space="preserve">2015) podkreślono również potrzebę </w:t>
      </w:r>
      <w:r>
        <w:t xml:space="preserve">tworzenia </w:t>
      </w:r>
      <w:r w:rsidRPr="00691A7E">
        <w:t xml:space="preserve">jasnych i spójnych powiązań między kształceniem nauczycieli, </w:t>
      </w:r>
      <w:r>
        <w:t xml:space="preserve">wprowadzaniem do zawodu </w:t>
      </w:r>
      <w:r w:rsidRPr="00691A7E">
        <w:t xml:space="preserve">i ustawicznym </w:t>
      </w:r>
      <w:r>
        <w:t xml:space="preserve">doskonaleniem </w:t>
      </w:r>
      <w:r w:rsidRPr="00691A7E">
        <w:t xml:space="preserve">zawodowym w celu stworzenia kontinuum zawodowego </w:t>
      </w:r>
      <w:r>
        <w:t xml:space="preserve">uczenia się </w:t>
      </w:r>
      <w:r w:rsidRPr="00691A7E">
        <w:t>nauczycieli (obejmującego zarówno możliwości formalnego, jak i pozaformalnego</w:t>
      </w:r>
      <w:r w:rsidR="00E43255" w:rsidRPr="00E43255">
        <w:t xml:space="preserve"> </w:t>
      </w:r>
      <w:r w:rsidR="00E43255" w:rsidRPr="00691A7E">
        <w:t>uczenia się</w:t>
      </w:r>
      <w:r w:rsidRPr="00691A7E">
        <w:t xml:space="preserve">). </w:t>
      </w:r>
      <w:r w:rsidR="00E43255">
        <w:t>I</w:t>
      </w:r>
      <w:r w:rsidRPr="00691A7E">
        <w:t xml:space="preserve">nicjatywy </w:t>
      </w:r>
      <w:r w:rsidR="00E43255">
        <w:t xml:space="preserve">realizowane w sposób fragmentaryczny </w:t>
      </w:r>
      <w:r w:rsidRPr="00691A7E">
        <w:t>nie wystarcz</w:t>
      </w:r>
      <w:r w:rsidR="00E43255">
        <w:t>ą</w:t>
      </w:r>
      <w:r w:rsidRPr="00691A7E">
        <w:t xml:space="preserve">, aby przygotować wszystkich nauczycieli do bardziej systematycznego włączania wszystkich </w:t>
      </w:r>
      <w:r w:rsidR="00E43255">
        <w:t xml:space="preserve">osób </w:t>
      </w:r>
      <w:r w:rsidRPr="00691A7E">
        <w:t xml:space="preserve">uczących się i zmniejszenia </w:t>
      </w:r>
      <w:r w:rsidR="00E43255">
        <w:t xml:space="preserve">różnic </w:t>
      </w:r>
      <w:r w:rsidRPr="00691A7E">
        <w:t xml:space="preserve">w skuteczności </w:t>
      </w:r>
      <w:r w:rsidR="00AE366D">
        <w:t xml:space="preserve">pracy </w:t>
      </w:r>
      <w:r w:rsidRPr="00691A7E">
        <w:t>nauczycieli, która ma wpływ na uczenie się (</w:t>
      </w:r>
      <w:bookmarkStart w:id="15" w:name="_Hlk72830182"/>
      <w:r w:rsidR="00E43255">
        <w:t>European Agency</w:t>
      </w:r>
      <w:bookmarkEnd w:id="15"/>
      <w:r w:rsidRPr="00691A7E">
        <w:t>, 2019a s</w:t>
      </w:r>
      <w:r w:rsidR="00E43255">
        <w:t>tr</w:t>
      </w:r>
      <w:r w:rsidRPr="00691A7E">
        <w:t xml:space="preserve">. 6). Dalszy rozwój kształcenia </w:t>
      </w:r>
      <w:r w:rsidR="00E43255">
        <w:t xml:space="preserve">i doskonalenia </w:t>
      </w:r>
      <w:r w:rsidRPr="00691A7E">
        <w:t xml:space="preserve">nauczycieli będzie wymagał </w:t>
      </w:r>
      <w:r w:rsidR="00E43255">
        <w:t xml:space="preserve">od osób </w:t>
      </w:r>
      <w:r w:rsidR="00C477FA">
        <w:t xml:space="preserve">ich </w:t>
      </w:r>
      <w:r w:rsidR="00E43255">
        <w:t xml:space="preserve">kształcących </w:t>
      </w:r>
      <w:r w:rsidRPr="00691A7E">
        <w:t>posiada</w:t>
      </w:r>
      <w:r w:rsidR="00E43255">
        <w:t>nia</w:t>
      </w:r>
      <w:r w:rsidRPr="00691A7E">
        <w:t xml:space="preserve"> wiedz</w:t>
      </w:r>
      <w:r w:rsidR="00E43255">
        <w:t>y</w:t>
      </w:r>
      <w:r w:rsidRPr="00691A7E">
        <w:t xml:space="preserve"> i doświadczeni</w:t>
      </w:r>
      <w:r w:rsidR="00E43255">
        <w:t>a</w:t>
      </w:r>
      <w:r w:rsidRPr="00691A7E">
        <w:t xml:space="preserve"> w zakresie edukacji włączającej, a także </w:t>
      </w:r>
      <w:r w:rsidR="00E43255">
        <w:t xml:space="preserve">obecności w szkołach </w:t>
      </w:r>
      <w:r w:rsidRPr="00691A7E">
        <w:t xml:space="preserve">doświadczonych pracowników zdolnych do rozwijania kompetencji </w:t>
      </w:r>
      <w:r w:rsidR="00E43255">
        <w:t>innych członków kadry pedagogicznej</w:t>
      </w:r>
      <w:r w:rsidRPr="00691A7E">
        <w:t>.</w:t>
      </w:r>
    </w:p>
    <w:p w14:paraId="08C48264" w14:textId="6952D5B6" w:rsidR="00691A7E" w:rsidRPr="00691A7E" w:rsidRDefault="00691A7E" w:rsidP="00E43255">
      <w:pPr>
        <w:pStyle w:val="Agency-body-text"/>
        <w:jc w:val="both"/>
      </w:pPr>
      <w:r w:rsidRPr="00691A7E">
        <w:t>Rada Unii Europejskiej (o</w:t>
      </w:r>
      <w:r w:rsidR="00C477FA">
        <w:t>p</w:t>
      </w:r>
      <w:r w:rsidR="001177BB">
        <w:t>.</w:t>
      </w:r>
      <w:r w:rsidRPr="00691A7E">
        <w:t xml:space="preserve"> cit.) również zauważa potrzebę </w:t>
      </w:r>
      <w:r w:rsidR="00E43255">
        <w:t xml:space="preserve">stworzenia </w:t>
      </w:r>
      <w:r w:rsidRPr="00691A7E">
        <w:t>ram kompetencji dla nauczycieli i trenerów</w:t>
      </w:r>
      <w:r w:rsidR="00E43255">
        <w:t>, które zostałyby</w:t>
      </w:r>
      <w:r w:rsidRPr="00691A7E">
        <w:t xml:space="preserve"> opracowan</w:t>
      </w:r>
      <w:r w:rsidR="00E43255">
        <w:t xml:space="preserve">e we współpracy </w:t>
      </w:r>
      <w:r w:rsidRPr="00691A7E">
        <w:t>z odpowiednimi interesariuszami</w:t>
      </w:r>
      <w:r w:rsidR="00B92257">
        <w:t xml:space="preserve"> i</w:t>
      </w:r>
      <w:r w:rsidR="00E43255">
        <w:t xml:space="preserve"> </w:t>
      </w:r>
      <w:r w:rsidRPr="00691A7E">
        <w:t>odzwierciedla</w:t>
      </w:r>
      <w:r w:rsidR="00E43255">
        <w:t>łyby</w:t>
      </w:r>
      <w:r w:rsidRPr="00691A7E">
        <w:t xml:space="preserve"> innowacyjne podejścia, strategie i metody nauczania.</w:t>
      </w:r>
    </w:p>
    <w:p w14:paraId="75CADFD6" w14:textId="44A9080B" w:rsidR="00691A7E" w:rsidRPr="00691A7E" w:rsidRDefault="00691A7E" w:rsidP="00E43255">
      <w:pPr>
        <w:pStyle w:val="Agency-body-text"/>
        <w:jc w:val="both"/>
      </w:pPr>
      <w:r w:rsidRPr="00C477FA">
        <w:rPr>
          <w:i/>
          <w:iCs/>
        </w:rPr>
        <w:t xml:space="preserve">Profil Nauczyciela Edukacji </w:t>
      </w:r>
      <w:r w:rsidR="00E43255" w:rsidRPr="00C477FA">
        <w:rPr>
          <w:i/>
          <w:iCs/>
        </w:rPr>
        <w:t>Włączającej</w:t>
      </w:r>
      <w:r w:rsidR="00E43255">
        <w:t xml:space="preserve"> </w:t>
      </w:r>
      <w:r w:rsidRPr="00691A7E">
        <w:t>(</w:t>
      </w:r>
      <w:r w:rsidR="00E43255">
        <w:t>European Agency</w:t>
      </w:r>
      <w:r w:rsidRPr="00691A7E">
        <w:t xml:space="preserve">, 2012) </w:t>
      </w:r>
      <w:r w:rsidR="00E43255">
        <w:t xml:space="preserve">był stosowany </w:t>
      </w:r>
      <w:r w:rsidRPr="00691A7E">
        <w:t xml:space="preserve">przez wiele krajów członkowskich Agencji do </w:t>
      </w:r>
      <w:r w:rsidR="00E43255">
        <w:t xml:space="preserve">przeanalizowania </w:t>
      </w:r>
      <w:r w:rsidRPr="00691A7E">
        <w:t>podstawowych wartości i obszarów kompetencji potrzebnych wszystkim nauczycielom:</w:t>
      </w:r>
    </w:p>
    <w:p w14:paraId="47867D87" w14:textId="77777777" w:rsidR="00691A7E" w:rsidRPr="00691A7E" w:rsidRDefault="00691A7E" w:rsidP="00336F22">
      <w:pPr>
        <w:pStyle w:val="Agency-body-text"/>
      </w:pPr>
    </w:p>
    <w:p w14:paraId="0695942A" w14:textId="29DDA779" w:rsidR="005B0AA4" w:rsidRDefault="002416A7" w:rsidP="005B0AA4">
      <w:pPr>
        <w:pStyle w:val="Agency-body-text"/>
      </w:pPr>
      <w:r w:rsidRPr="002416A7">
        <w:rPr>
          <w:b/>
          <w:bCs/>
        </w:rPr>
        <w:t xml:space="preserve">Docenianie </w:t>
      </w:r>
      <w:r w:rsidR="00C34A2F">
        <w:rPr>
          <w:b/>
          <w:bCs/>
        </w:rPr>
        <w:t>z</w:t>
      </w:r>
      <w:r w:rsidRPr="002416A7">
        <w:rPr>
          <w:b/>
          <w:bCs/>
        </w:rPr>
        <w:t>różn</w:t>
      </w:r>
      <w:r w:rsidR="00C34A2F">
        <w:rPr>
          <w:b/>
          <w:bCs/>
        </w:rPr>
        <w:t>icowania</w:t>
      </w:r>
      <w:r w:rsidRPr="002416A7">
        <w:rPr>
          <w:b/>
          <w:bCs/>
        </w:rPr>
        <w:t xml:space="preserve"> osób uczących si</w:t>
      </w:r>
      <w:r>
        <w:rPr>
          <w:b/>
          <w:bCs/>
        </w:rPr>
        <w:t>ę</w:t>
      </w:r>
    </w:p>
    <w:p w14:paraId="6FCA85EA" w14:textId="77777777" w:rsidR="002416A7" w:rsidRPr="002416A7" w:rsidRDefault="002416A7" w:rsidP="002416A7">
      <w:pPr>
        <w:pStyle w:val="Agency-body-text"/>
        <w:numPr>
          <w:ilvl w:val="0"/>
          <w:numId w:val="35"/>
        </w:numPr>
      </w:pPr>
      <w:r w:rsidRPr="002416A7">
        <w:t>Koncepcje edukacji włączającej</w:t>
      </w:r>
    </w:p>
    <w:p w14:paraId="478047E9" w14:textId="14836814" w:rsidR="002416A7" w:rsidRPr="002416A7" w:rsidRDefault="002416A7" w:rsidP="002416A7">
      <w:pPr>
        <w:pStyle w:val="Agency-body-text"/>
        <w:numPr>
          <w:ilvl w:val="0"/>
          <w:numId w:val="35"/>
        </w:numPr>
      </w:pPr>
      <w:r w:rsidRPr="002416A7">
        <w:t>Poglądy nauczycieli na różnice między uczniami</w:t>
      </w:r>
    </w:p>
    <w:p w14:paraId="1F5390AF" w14:textId="77777777" w:rsidR="002416A7" w:rsidRPr="002416A7" w:rsidRDefault="002416A7" w:rsidP="002416A7">
      <w:pPr>
        <w:pStyle w:val="Agency-body-text"/>
        <w:rPr>
          <w:b/>
          <w:bCs/>
        </w:rPr>
      </w:pPr>
      <w:r w:rsidRPr="002416A7">
        <w:rPr>
          <w:b/>
          <w:bCs/>
        </w:rPr>
        <w:t>Wspieranie wszystkich uczniów</w:t>
      </w:r>
    </w:p>
    <w:p w14:paraId="63E257A6" w14:textId="2C2BFBC1" w:rsidR="002416A7" w:rsidRPr="002416A7" w:rsidRDefault="002416A7" w:rsidP="00AE366D">
      <w:pPr>
        <w:pStyle w:val="Agency-body-text"/>
        <w:numPr>
          <w:ilvl w:val="0"/>
          <w:numId w:val="36"/>
        </w:numPr>
        <w:jc w:val="both"/>
      </w:pPr>
      <w:r w:rsidRPr="002416A7">
        <w:t>Promowanie</w:t>
      </w:r>
      <w:r>
        <w:t xml:space="preserve"> </w:t>
      </w:r>
      <w:r w:rsidR="00996597">
        <w:t xml:space="preserve">osiągnięć edukacyjnych oraz </w:t>
      </w:r>
      <w:r w:rsidRPr="002416A7">
        <w:t xml:space="preserve">praktycznego, społecznego i emocjonalnego uczenia się wszystkich </w:t>
      </w:r>
      <w:r>
        <w:t xml:space="preserve">osób uczących się </w:t>
      </w:r>
    </w:p>
    <w:p w14:paraId="7D495F7B" w14:textId="2E65F3FB" w:rsidR="002416A7" w:rsidRPr="002416A7" w:rsidRDefault="002416A7" w:rsidP="002416A7">
      <w:pPr>
        <w:pStyle w:val="Agency-body-text"/>
        <w:numPr>
          <w:ilvl w:val="0"/>
          <w:numId w:val="36"/>
        </w:numPr>
      </w:pPr>
      <w:r w:rsidRPr="002416A7">
        <w:t xml:space="preserve">Skuteczne metody nauczania w klasach </w:t>
      </w:r>
      <w:r w:rsidR="00B92257">
        <w:t>zróżnicowanych</w:t>
      </w:r>
    </w:p>
    <w:p w14:paraId="02E0EC45" w14:textId="77777777" w:rsidR="002416A7" w:rsidRPr="002416A7" w:rsidRDefault="002416A7" w:rsidP="002416A7">
      <w:pPr>
        <w:pStyle w:val="Agency-body-text"/>
        <w:rPr>
          <w:b/>
          <w:bCs/>
        </w:rPr>
      </w:pPr>
      <w:r w:rsidRPr="002416A7">
        <w:rPr>
          <w:b/>
          <w:bCs/>
        </w:rPr>
        <w:t>Praca z innymi</w:t>
      </w:r>
    </w:p>
    <w:p w14:paraId="09D4CCD7" w14:textId="1DCDE9D7" w:rsidR="002416A7" w:rsidRPr="002416A7" w:rsidRDefault="002416A7" w:rsidP="002416A7">
      <w:pPr>
        <w:pStyle w:val="Agency-body-text"/>
        <w:numPr>
          <w:ilvl w:val="0"/>
          <w:numId w:val="37"/>
        </w:numPr>
      </w:pPr>
      <w:r w:rsidRPr="002416A7">
        <w:t>Praca z rodzicami i rodzinami</w:t>
      </w:r>
    </w:p>
    <w:p w14:paraId="43C3094F" w14:textId="6B714E7C" w:rsidR="002416A7" w:rsidRPr="002416A7" w:rsidRDefault="002416A7" w:rsidP="002416A7">
      <w:pPr>
        <w:pStyle w:val="Agency-body-text"/>
        <w:numPr>
          <w:ilvl w:val="0"/>
          <w:numId w:val="37"/>
        </w:numPr>
      </w:pPr>
      <w:r w:rsidRPr="002416A7">
        <w:t>Współpraca z innymi specjalistami w dziedzinie edukacji</w:t>
      </w:r>
    </w:p>
    <w:p w14:paraId="2C48E4D2" w14:textId="77777777" w:rsidR="002416A7" w:rsidRPr="002416A7" w:rsidRDefault="002416A7" w:rsidP="002416A7">
      <w:pPr>
        <w:pStyle w:val="Agency-body-text"/>
        <w:rPr>
          <w:b/>
          <w:bCs/>
        </w:rPr>
      </w:pPr>
      <w:r w:rsidRPr="002416A7">
        <w:rPr>
          <w:b/>
          <w:bCs/>
        </w:rPr>
        <w:t>Osobisty rozwój zawodowy</w:t>
      </w:r>
    </w:p>
    <w:p w14:paraId="037F21A3" w14:textId="52411906" w:rsidR="002416A7" w:rsidRPr="002416A7" w:rsidRDefault="002416A7" w:rsidP="00AE366D">
      <w:pPr>
        <w:pStyle w:val="Agency-body-text"/>
        <w:numPr>
          <w:ilvl w:val="0"/>
          <w:numId w:val="38"/>
        </w:numPr>
        <w:jc w:val="both"/>
      </w:pPr>
      <w:r w:rsidRPr="002416A7">
        <w:t>Nauczyciele jako refleksyjni praktycy</w:t>
      </w:r>
    </w:p>
    <w:p w14:paraId="3F3A196C" w14:textId="19E39014" w:rsidR="002416A7" w:rsidRPr="002416A7" w:rsidRDefault="002416A7" w:rsidP="00AE366D">
      <w:pPr>
        <w:pStyle w:val="Agency-body-text"/>
        <w:numPr>
          <w:ilvl w:val="0"/>
          <w:numId w:val="38"/>
        </w:numPr>
        <w:jc w:val="both"/>
      </w:pPr>
      <w:r>
        <w:t>K</w:t>
      </w:r>
      <w:r w:rsidRPr="002416A7">
        <w:t xml:space="preserve">ształcenie nauczycieli jako podstawa do ciągłego uczenia się i </w:t>
      </w:r>
      <w:r>
        <w:t xml:space="preserve">doskonalenia </w:t>
      </w:r>
      <w:r w:rsidRPr="002416A7">
        <w:t>zawodowego</w:t>
      </w:r>
    </w:p>
    <w:p w14:paraId="547A3451" w14:textId="5875B6A2" w:rsidR="002416A7" w:rsidRPr="002416A7" w:rsidRDefault="002416A7" w:rsidP="00C477FA">
      <w:pPr>
        <w:pStyle w:val="Agency-body-text"/>
        <w:jc w:val="both"/>
      </w:pPr>
      <w:r w:rsidRPr="002416A7">
        <w:t>Ostatnio</w:t>
      </w:r>
      <w:r w:rsidR="00E44FAF" w:rsidRPr="002416A7">
        <w:t xml:space="preserve"> </w:t>
      </w:r>
      <w:r w:rsidRPr="002416A7">
        <w:t xml:space="preserve">w ramach realizowanego przez Agencję </w:t>
      </w:r>
      <w:r w:rsidR="00C477FA" w:rsidRPr="002416A7">
        <w:t>projektu</w:t>
      </w:r>
      <w:r w:rsidRPr="002416A7">
        <w:t xml:space="preserve"> pt.: </w:t>
      </w:r>
      <w:r w:rsidR="00E44FAF" w:rsidRPr="00C477FA">
        <w:rPr>
          <w:i/>
          <w:iCs/>
        </w:rPr>
        <w:t>T</w:t>
      </w:r>
      <w:r w:rsidR="008B2C08" w:rsidRPr="00C477FA">
        <w:rPr>
          <w:i/>
          <w:iCs/>
        </w:rPr>
        <w:t>eacher Professional</w:t>
      </w:r>
      <w:r w:rsidR="008B2C08" w:rsidRPr="002416A7">
        <w:t xml:space="preserve"> </w:t>
      </w:r>
      <w:r w:rsidR="00B454AA">
        <w:t xml:space="preserve">Learning for Inclusion </w:t>
      </w:r>
      <w:r w:rsidR="00C477FA" w:rsidRPr="002416A7">
        <w:t xml:space="preserve">(TPL4I) </w:t>
      </w:r>
      <w:r w:rsidRPr="002416A7">
        <w:t xml:space="preserve">(pol.: </w:t>
      </w:r>
      <w:r w:rsidRPr="002416A7">
        <w:rPr>
          <w:i/>
          <w:iCs/>
        </w:rPr>
        <w:t>Kształcenie zawodowe nauczycieli na rzecz włączania</w:t>
      </w:r>
      <w:r w:rsidRPr="002416A7">
        <w:t>)</w:t>
      </w:r>
      <w:r w:rsidR="008B2C08" w:rsidRPr="002416A7">
        <w:t xml:space="preserve"> </w:t>
      </w:r>
      <w:r w:rsidR="0064738A" w:rsidRPr="002416A7">
        <w:t xml:space="preserve">(2019a) </w:t>
      </w:r>
      <w:r w:rsidRPr="002416A7">
        <w:t>wykaza</w:t>
      </w:r>
      <w:r>
        <w:t>no</w:t>
      </w:r>
      <w:r w:rsidRPr="002416A7">
        <w:t xml:space="preserve">, że profil nauczyciela </w:t>
      </w:r>
      <w:r>
        <w:t xml:space="preserve">edukacji włączającej </w:t>
      </w:r>
      <w:r w:rsidRPr="002416A7">
        <w:t xml:space="preserve">może potencjalnie obejmować kontinuum </w:t>
      </w:r>
      <w:r w:rsidR="00B454AA" w:rsidRPr="00B454AA">
        <w:rPr>
          <w:i/>
          <w:iCs/>
        </w:rPr>
        <w:t>kształcenia</w:t>
      </w:r>
      <w:r w:rsidR="00B454AA">
        <w:t xml:space="preserve"> </w:t>
      </w:r>
      <w:r w:rsidRPr="002416A7">
        <w:rPr>
          <w:i/>
          <w:iCs/>
        </w:rPr>
        <w:t>zawodowe</w:t>
      </w:r>
      <w:r w:rsidR="00B454AA">
        <w:rPr>
          <w:i/>
          <w:iCs/>
        </w:rPr>
        <w:t>go</w:t>
      </w:r>
      <w:r w:rsidRPr="002416A7">
        <w:rPr>
          <w:i/>
          <w:iCs/>
        </w:rPr>
        <w:t xml:space="preserve"> nauczycieli na rzecz włącz</w:t>
      </w:r>
      <w:r w:rsidR="00B454AA">
        <w:rPr>
          <w:i/>
          <w:iCs/>
        </w:rPr>
        <w:t>ania</w:t>
      </w:r>
      <w:r>
        <w:t xml:space="preserve"> podczas </w:t>
      </w:r>
      <w:r w:rsidR="00B454AA">
        <w:t xml:space="preserve">ich </w:t>
      </w:r>
      <w:r>
        <w:t xml:space="preserve">całej </w:t>
      </w:r>
      <w:r w:rsidRPr="002416A7">
        <w:t>karier</w:t>
      </w:r>
      <w:r>
        <w:t>y</w:t>
      </w:r>
      <w:r w:rsidRPr="002416A7">
        <w:t xml:space="preserve"> zawodowej, w tym kształcenie zawodowe specjalistów i </w:t>
      </w:r>
      <w:r w:rsidR="00B454AA">
        <w:t xml:space="preserve">osób kształcących </w:t>
      </w:r>
      <w:r w:rsidRPr="002416A7">
        <w:t>nauczycieli. Co ważne, profil ten może być źródłem informacji w dyskusjach politycznych na temat:</w:t>
      </w:r>
    </w:p>
    <w:p w14:paraId="6F35EEE6" w14:textId="184DA7FF" w:rsidR="002416A7" w:rsidRPr="002416A7" w:rsidRDefault="002416A7" w:rsidP="00C477FA">
      <w:pPr>
        <w:pStyle w:val="Agency-body-text"/>
        <w:jc w:val="both"/>
      </w:pPr>
      <w:r w:rsidRPr="002416A7">
        <w:t xml:space="preserve">- podstawowych wartości dla wszystkich profesjonalistów pracujących w środowiskach </w:t>
      </w:r>
      <w:r w:rsidR="00C34A2F">
        <w:t>włączających</w:t>
      </w:r>
      <w:r w:rsidRPr="002416A7">
        <w:t>,</w:t>
      </w:r>
    </w:p>
    <w:p w14:paraId="031AE7D7" w14:textId="377F69C2" w:rsidR="002416A7" w:rsidRPr="002416A7" w:rsidRDefault="002416A7" w:rsidP="00C477FA">
      <w:pPr>
        <w:pStyle w:val="Agency-body-text"/>
        <w:jc w:val="both"/>
      </w:pPr>
      <w:r w:rsidRPr="002416A7">
        <w:t xml:space="preserve">- podstawowych kompetencji i jakości wiedzy, postaw i umiejętności nauczycieli, które </w:t>
      </w:r>
      <w:r>
        <w:t xml:space="preserve">są rozwijane </w:t>
      </w:r>
      <w:r w:rsidRPr="002416A7">
        <w:t>w trakcie ich kariery zawodowej,</w:t>
      </w:r>
    </w:p>
    <w:p w14:paraId="33394B3F" w14:textId="3A3CE75E" w:rsidR="002416A7" w:rsidRPr="002416A7" w:rsidRDefault="002416A7" w:rsidP="00C477FA">
      <w:pPr>
        <w:pStyle w:val="Agency-body-text"/>
        <w:jc w:val="both"/>
      </w:pPr>
      <w:r w:rsidRPr="002416A7">
        <w:t>- mechanizmów finansowania i procedur monitorowania rozwoju zawodowego.</w:t>
      </w:r>
    </w:p>
    <w:p w14:paraId="567FC5BE" w14:textId="4051C365" w:rsidR="00CF7E43" w:rsidRPr="00CF7E43" w:rsidRDefault="00CF7E43" w:rsidP="00C477FA">
      <w:pPr>
        <w:pStyle w:val="Agency-body-text"/>
        <w:jc w:val="both"/>
      </w:pPr>
      <w:r w:rsidRPr="00CF7E43">
        <w:t xml:space="preserve">W proponowanym </w:t>
      </w:r>
      <w:r>
        <w:t xml:space="preserve">przez </w:t>
      </w:r>
      <w:r w:rsidRPr="00CF7E43">
        <w:t xml:space="preserve">MEiN </w:t>
      </w:r>
      <w:r w:rsidR="00C477FA">
        <w:t>m</w:t>
      </w:r>
      <w:r>
        <w:t xml:space="preserve">odelu </w:t>
      </w:r>
      <w:r w:rsidR="00130854">
        <w:t>„</w:t>
      </w:r>
      <w:r w:rsidRPr="00CF7E43">
        <w:t>Edukacja dla wszystkich</w:t>
      </w:r>
      <w:r w:rsidR="00130854">
        <w:t>”</w:t>
      </w:r>
      <w:r>
        <w:t>,</w:t>
      </w:r>
      <w:r w:rsidRPr="00CF7E43">
        <w:t xml:space="preserve"> w trakcie konsultacji</w:t>
      </w:r>
      <w:r>
        <w:t>,</w:t>
      </w:r>
      <w:r w:rsidRPr="00CF7E43">
        <w:t xml:space="preserve"> podkreślono, że role wszystkich pracowników, n</w:t>
      </w:r>
      <w:r w:rsidR="00C477FA">
        <w:t>p</w:t>
      </w:r>
      <w:r w:rsidR="001177BB">
        <w:t>.</w:t>
      </w:r>
      <w:r w:rsidRPr="00CF7E43">
        <w:t xml:space="preserve"> koordynatorów ds.</w:t>
      </w:r>
      <w:r>
        <w:t xml:space="preserve"> edukacji włączającej</w:t>
      </w:r>
      <w:r w:rsidRPr="00CF7E43">
        <w:t xml:space="preserve">, pracowników wspierających proces uczenia się i nauczycieli specjalistów, powinny być jasno określone i powiązane z postawami, umiejętnościami i kompetencjami potrzebnymi do poprawy oferty </w:t>
      </w:r>
      <w:r>
        <w:t xml:space="preserve">edukacyjnej </w:t>
      </w:r>
      <w:r w:rsidRPr="00CF7E43">
        <w:t xml:space="preserve">dla szerszego grona uczniów </w:t>
      </w:r>
      <w:r>
        <w:t xml:space="preserve">o zróżnicowanych potrzebach </w:t>
      </w:r>
      <w:r w:rsidRPr="00CF7E43">
        <w:t xml:space="preserve">w każdej szkole. </w:t>
      </w:r>
    </w:p>
    <w:p w14:paraId="7ED1E907" w14:textId="294E43AB" w:rsidR="00CF7E43" w:rsidRPr="00CF7E43" w:rsidRDefault="00CF7E43" w:rsidP="00CF7E43">
      <w:pPr>
        <w:pStyle w:val="Agency-body-text"/>
        <w:jc w:val="both"/>
      </w:pPr>
      <w:r>
        <w:t xml:space="preserve">Równocześnie z </w:t>
      </w:r>
      <w:r w:rsidR="00AE366D">
        <w:t xml:space="preserve">ustawicznym </w:t>
      </w:r>
      <w:r w:rsidRPr="00CF7E43">
        <w:t>rozwoj</w:t>
      </w:r>
      <w:r>
        <w:t>em</w:t>
      </w:r>
      <w:r w:rsidRPr="00CF7E43">
        <w:t xml:space="preserve"> zawodow</w:t>
      </w:r>
      <w:r>
        <w:t xml:space="preserve">ym nauczycieli, należy opierać </w:t>
      </w:r>
      <w:r w:rsidRPr="00CF7E43">
        <w:t>pedagogiczne podejści</w:t>
      </w:r>
      <w:r>
        <w:t xml:space="preserve">a w zakresie edukacji włączającej </w:t>
      </w:r>
      <w:r w:rsidRPr="00CF7E43">
        <w:t xml:space="preserve">na zmianie sposobu myślenia - odejściu od koncepcji zindywidualizowanego reagowania na trudności, które polega na próbie dopasowania ucznia do istniejącego systemu, </w:t>
      </w:r>
      <w:r w:rsidRPr="00CF7E43">
        <w:rPr>
          <w:i/>
          <w:iCs/>
        </w:rPr>
        <w:t>na rzecz</w:t>
      </w:r>
      <w:r w:rsidRPr="00CF7E43">
        <w:t xml:space="preserve"> </w:t>
      </w:r>
      <w:r w:rsidR="00C477FA">
        <w:t>spersonali</w:t>
      </w:r>
      <w:r w:rsidRPr="00CF7E43">
        <w:t xml:space="preserve">zowanego reagowania, które </w:t>
      </w:r>
      <w:r>
        <w:t>p</w:t>
      </w:r>
      <w:r w:rsidRPr="00CF7E43">
        <w:t xml:space="preserve">oszerza dostępne możliwości, by </w:t>
      </w:r>
      <w:r>
        <w:t xml:space="preserve">móc stosować takie podejście wobec </w:t>
      </w:r>
      <w:r w:rsidRPr="00CF7E43">
        <w:t xml:space="preserve">wszystkich członków społeczności </w:t>
      </w:r>
      <w:r w:rsidR="00412DFD">
        <w:t xml:space="preserve">osób </w:t>
      </w:r>
      <w:r w:rsidRPr="00CF7E43">
        <w:t>ucząc</w:t>
      </w:r>
      <w:r w:rsidR="00412DFD">
        <w:t>ych</w:t>
      </w:r>
      <w:r w:rsidRPr="00CF7E43">
        <w:t xml:space="preserve"> się.</w:t>
      </w:r>
    </w:p>
    <w:p w14:paraId="38B42916" w14:textId="37A12438" w:rsidR="00CF7E43" w:rsidRPr="00CF7E43" w:rsidRDefault="00CF7E43" w:rsidP="00171DE2">
      <w:pPr>
        <w:pStyle w:val="Agency-body-text"/>
        <w:jc w:val="both"/>
      </w:pPr>
      <w:r w:rsidRPr="00CF7E43">
        <w:lastRenderedPageBreak/>
        <w:t xml:space="preserve">Ponadto wszyscy liderzy, nauczyciele i pracownicy szkoły muszą rozumieć funkcje oceniania i wykorzystywania informacji w celu poprawy </w:t>
      </w:r>
      <w:r>
        <w:t xml:space="preserve">procesu </w:t>
      </w:r>
      <w:r w:rsidRPr="00CF7E43">
        <w:t xml:space="preserve">uczenia się, zapewnienia wsparcia w pokonywaniu barier oraz monitorowania i ewaluacji metod nauczania, a także </w:t>
      </w:r>
      <w:r w:rsidR="00067EEA">
        <w:t>przekazywania informacji</w:t>
      </w:r>
      <w:r w:rsidRPr="00CF7E43">
        <w:t xml:space="preserve"> </w:t>
      </w:r>
      <w:r w:rsidR="00067EEA">
        <w:t xml:space="preserve">w tym zakresie </w:t>
      </w:r>
      <w:r w:rsidRPr="00CF7E43">
        <w:t xml:space="preserve">rodzicom i innym interesariuszom oraz oceny ogólnych wyników szkoły. </w:t>
      </w:r>
    </w:p>
    <w:p w14:paraId="4690EAEF" w14:textId="5BC43BD2" w:rsidR="00CF7E43" w:rsidRPr="00CF7E43" w:rsidRDefault="00CF7E43" w:rsidP="00171DE2">
      <w:pPr>
        <w:pStyle w:val="Agency-body-text"/>
        <w:jc w:val="both"/>
      </w:pPr>
      <w:r>
        <w:t>Wnioski z konsultacji wykazują</w:t>
      </w:r>
      <w:r w:rsidRPr="00CF7E43">
        <w:t>, że kształcenie nauczycieli powinno być bardziej praktyczne</w:t>
      </w:r>
      <w:r>
        <w:t>, co</w:t>
      </w:r>
      <w:r w:rsidRPr="00CF7E43">
        <w:t xml:space="preserve"> jest zgodne z </w:t>
      </w:r>
      <w:r>
        <w:t xml:space="preserve">wynikami </w:t>
      </w:r>
      <w:r w:rsidRPr="00CF7E43">
        <w:t>międzynarodowy</w:t>
      </w:r>
      <w:r>
        <w:t>ch</w:t>
      </w:r>
      <w:r w:rsidRPr="00CF7E43">
        <w:t xml:space="preserve"> bada</w:t>
      </w:r>
      <w:r>
        <w:t>ń</w:t>
      </w:r>
      <w:r w:rsidRPr="00CF7E43">
        <w:t xml:space="preserve"> (Messiou i Ainscow, 2015), które sugerują, że rozwój </w:t>
      </w:r>
      <w:r>
        <w:t xml:space="preserve">zawodowy </w:t>
      </w:r>
      <w:r w:rsidRPr="00CF7E43">
        <w:t>nauczycieli powinien odbywać się przede wszystkim w klasach</w:t>
      </w:r>
      <w:r>
        <w:t xml:space="preserve"> szkolnych</w:t>
      </w:r>
      <w:r w:rsidRPr="00CF7E43">
        <w:t xml:space="preserve">, z </w:t>
      </w:r>
      <w:r w:rsidR="00171DE2">
        <w:t xml:space="preserve">umożliwieniem </w:t>
      </w:r>
      <w:r w:rsidRPr="00CF7E43">
        <w:t>nauczyciel</w:t>
      </w:r>
      <w:r w:rsidR="00171DE2">
        <w:t>om</w:t>
      </w:r>
      <w:r w:rsidR="004674FB">
        <w:t>,</w:t>
      </w:r>
      <w:r w:rsidR="00171DE2">
        <w:t xml:space="preserve"> w sposób elastyczny</w:t>
      </w:r>
      <w:r w:rsidRPr="00CF7E43">
        <w:t>, wspóln</w:t>
      </w:r>
      <w:r w:rsidR="00171DE2">
        <w:t>ego</w:t>
      </w:r>
      <w:r w:rsidRPr="00CF7E43">
        <w:t xml:space="preserve"> planowa</w:t>
      </w:r>
      <w:r w:rsidR="00171DE2">
        <w:t>nia</w:t>
      </w:r>
      <w:r w:rsidRPr="00CF7E43">
        <w:t>, dziel</w:t>
      </w:r>
      <w:r w:rsidR="00171DE2">
        <w:t>enia</w:t>
      </w:r>
      <w:r w:rsidRPr="00CF7E43">
        <w:t xml:space="preserve"> się pomysłami i zasobami oraz </w:t>
      </w:r>
      <w:r w:rsidR="00171DE2">
        <w:t xml:space="preserve">wzajemnej </w:t>
      </w:r>
      <w:r w:rsidRPr="00CF7E43">
        <w:t>obserw</w:t>
      </w:r>
      <w:r w:rsidR="00171DE2">
        <w:t>acji</w:t>
      </w:r>
      <w:r w:rsidRPr="00CF7E43">
        <w:t xml:space="preserve"> </w:t>
      </w:r>
      <w:r w:rsidR="00171DE2">
        <w:t>wykonywanej pracy</w:t>
      </w:r>
      <w:r w:rsidRPr="00CF7E43">
        <w:t xml:space="preserve">. To z kolei może </w:t>
      </w:r>
      <w:r w:rsidR="00171DE2">
        <w:t xml:space="preserve">stworzyć </w:t>
      </w:r>
      <w:r w:rsidRPr="00CF7E43">
        <w:t xml:space="preserve">wspólny język </w:t>
      </w:r>
      <w:r w:rsidR="00171DE2">
        <w:t xml:space="preserve">mówienia o </w:t>
      </w:r>
      <w:r w:rsidRPr="00CF7E43">
        <w:t>prakty</w:t>
      </w:r>
      <w:r w:rsidR="00171DE2">
        <w:t>ce</w:t>
      </w:r>
      <w:r w:rsidRPr="00CF7E43">
        <w:t xml:space="preserve">, który pomoże poszczególnym osobom </w:t>
      </w:r>
      <w:r w:rsidR="00171DE2">
        <w:t>w dokon</w:t>
      </w:r>
      <w:r w:rsidR="00AE366D">
        <w:t>yw</w:t>
      </w:r>
      <w:r w:rsidR="00171DE2">
        <w:t xml:space="preserve">aniu refleksji </w:t>
      </w:r>
      <w:r w:rsidRPr="00CF7E43">
        <w:t xml:space="preserve">nad własnymi sposobami pracy, </w:t>
      </w:r>
      <w:r w:rsidR="00171DE2">
        <w:t xml:space="preserve">logiką podejmowanych przez nich </w:t>
      </w:r>
      <w:r w:rsidRPr="00CF7E43">
        <w:t>działa</w:t>
      </w:r>
      <w:r w:rsidR="00171DE2">
        <w:t xml:space="preserve">ń </w:t>
      </w:r>
      <w:r w:rsidRPr="00CF7E43">
        <w:t xml:space="preserve">oraz nad </w:t>
      </w:r>
      <w:r w:rsidR="00171DE2">
        <w:t>możliwościami ich udoskonalenia</w:t>
      </w:r>
      <w:r w:rsidRPr="00CF7E43">
        <w:t xml:space="preserve">. Messiou i Ainscow dostrzegają także znaczenie rozwoju </w:t>
      </w:r>
      <w:r w:rsidR="00DE77CC">
        <w:t xml:space="preserve">zawodowego </w:t>
      </w:r>
      <w:r w:rsidRPr="00CF7E43">
        <w:t xml:space="preserve">nauczycieli, który opiera się na wiedzy specjalistycznej dostępnej w szkołach, łącząc ją z </w:t>
      </w:r>
      <w:r w:rsidR="00171DE2">
        <w:t xml:space="preserve">obecną </w:t>
      </w:r>
      <w:r w:rsidRPr="00CF7E43">
        <w:t>wiedzą</w:t>
      </w:r>
      <w:r w:rsidR="00171DE2">
        <w:t xml:space="preserve"> teoretyczną</w:t>
      </w:r>
      <w:r w:rsidRPr="00CF7E43">
        <w:t>. Wzmacnia to argumentację przedstawioną podczas konsultacji, że w szkołach powinni pracować specjaliści - a także doświadczeni pracownicy, którzy mogą pełnić rolę mentorów rozwijających kompetencje innych</w:t>
      </w:r>
      <w:r w:rsidR="00171DE2">
        <w:t xml:space="preserve"> nauczycieli.</w:t>
      </w:r>
    </w:p>
    <w:p w14:paraId="50722BAC" w14:textId="47056BC1" w:rsidR="00171DE2" w:rsidRPr="00171DE2" w:rsidRDefault="00171DE2" w:rsidP="00171DE2">
      <w:pPr>
        <w:pStyle w:val="Agency-body-text"/>
        <w:jc w:val="both"/>
      </w:pPr>
      <w:r>
        <w:t>Bardzo ważne jest, by p</w:t>
      </w:r>
      <w:r w:rsidRPr="00171DE2">
        <w:t xml:space="preserve">racownicy szkół specjalnych </w:t>
      </w:r>
      <w:r>
        <w:t xml:space="preserve">mieli </w:t>
      </w:r>
      <w:r w:rsidRPr="00171DE2">
        <w:t xml:space="preserve">do dyspozycji </w:t>
      </w:r>
      <w:r w:rsidR="00AE6F91">
        <w:t xml:space="preserve">dedykowane im </w:t>
      </w:r>
      <w:r w:rsidRPr="00171DE2">
        <w:t>możliwości rozwoju zawodowego, które pomogą im przygotować się do nowej roli i jak najefektywniej wykorzystać swoje umiejętności w nauczaniu i wspieraniu uczniów</w:t>
      </w:r>
      <w:r>
        <w:t xml:space="preserve"> o zróżnicowanych potrzebach</w:t>
      </w:r>
      <w:r w:rsidRPr="00171DE2">
        <w:t xml:space="preserve">. Dyrektorzy szkół również będą potrzebowali wsparcia i możliwości rozwoju, aby mogli skutecznie korzystać ze zwiększonej autonomii - zapewniając przywództwo w zakresie pedagogiki, programu nauczania i </w:t>
      </w:r>
      <w:r w:rsidR="00F321FD" w:rsidRPr="00171DE2">
        <w:t>ocen</w:t>
      </w:r>
      <w:r w:rsidR="00F321FD">
        <w:t>iania</w:t>
      </w:r>
      <w:r w:rsidRPr="00171DE2">
        <w:t>, a także organizacji szkoły zgodnej z etosem</w:t>
      </w:r>
      <w:r>
        <w:t xml:space="preserve"> edukacji włączającej</w:t>
      </w:r>
      <w:r w:rsidRPr="00171DE2">
        <w:t>.</w:t>
      </w:r>
    </w:p>
    <w:p w14:paraId="47023B21" w14:textId="7FD19406" w:rsidR="00171DE2" w:rsidRPr="00171DE2" w:rsidRDefault="00EF6FC2" w:rsidP="00171DE2">
      <w:pPr>
        <w:pStyle w:val="Agency-body-text"/>
        <w:jc w:val="both"/>
      </w:pPr>
      <w:r>
        <w:t>N</w:t>
      </w:r>
      <w:r w:rsidR="00171DE2" w:rsidRPr="00171DE2">
        <w:t xml:space="preserve">iedawna pandemia uwypukliła potrzebę doskonalenia umiejętności informatycznych przez osoby kształcące nauczycieli, liderów i nauczycieli oraz potrzebę </w:t>
      </w:r>
      <w:r w:rsidR="00171DE2">
        <w:t xml:space="preserve">stosowania </w:t>
      </w:r>
      <w:r w:rsidR="00171DE2" w:rsidRPr="00171DE2">
        <w:t xml:space="preserve">elastycznych metod pracy w celu uzupełnienia braków w nauce, które mogły się powiększyć podczas </w:t>
      </w:r>
      <w:r w:rsidR="00171DE2">
        <w:t xml:space="preserve">okresów </w:t>
      </w:r>
      <w:r w:rsidR="00171DE2" w:rsidRPr="00171DE2">
        <w:t>zam</w:t>
      </w:r>
      <w:r w:rsidR="00171DE2">
        <w:t>knięcia</w:t>
      </w:r>
      <w:r w:rsidR="00171DE2" w:rsidRPr="00171DE2">
        <w:t xml:space="preserve"> szkół.</w:t>
      </w:r>
    </w:p>
    <w:p w14:paraId="3839C39F" w14:textId="286FA8BF" w:rsidR="00171DE2" w:rsidRPr="00171DE2" w:rsidRDefault="00171DE2" w:rsidP="00171DE2">
      <w:pPr>
        <w:pStyle w:val="Agency-body-text"/>
        <w:jc w:val="both"/>
      </w:pPr>
      <w:r w:rsidRPr="00171DE2">
        <w:t xml:space="preserve">Wdrożenie </w:t>
      </w:r>
      <w:r w:rsidR="00130854">
        <w:t xml:space="preserve">modelu </w:t>
      </w:r>
      <w:r>
        <w:t>„</w:t>
      </w:r>
      <w:r w:rsidRPr="00171DE2">
        <w:t>Edukacja dla wszystkich</w:t>
      </w:r>
      <w:r>
        <w:t>”</w:t>
      </w:r>
      <w:r w:rsidRPr="00171DE2">
        <w:t xml:space="preserve"> stwarza okazję do opracowania i uaktualnienia standardów </w:t>
      </w:r>
      <w:r>
        <w:t xml:space="preserve">pracy </w:t>
      </w:r>
      <w:r w:rsidRPr="00171DE2">
        <w:t xml:space="preserve">nauczycieli oraz wprowadzenia bardziej odpowiednich </w:t>
      </w:r>
      <w:r w:rsidR="005E7404">
        <w:t xml:space="preserve">zestawów </w:t>
      </w:r>
      <w:r w:rsidRPr="00171DE2">
        <w:t xml:space="preserve">kwalifikacji w zakresie </w:t>
      </w:r>
      <w:r>
        <w:t xml:space="preserve">włączania </w:t>
      </w:r>
      <w:r w:rsidRPr="00171DE2">
        <w:t>i różnorodności, aby wspierać nauczycieli w uczeniu się przez całe życie zawodowe.</w:t>
      </w:r>
    </w:p>
    <w:p w14:paraId="787B8DE9" w14:textId="396495C0" w:rsidR="00336F22" w:rsidRPr="006925D7" w:rsidRDefault="004E3BEF" w:rsidP="001F33B6">
      <w:pPr>
        <w:pStyle w:val="Agency-heading-2"/>
      </w:pPr>
      <w:bookmarkStart w:id="16" w:name="_Toc71542597"/>
      <w:r w:rsidRPr="006925D7">
        <w:t>Założenie</w:t>
      </w:r>
      <w:r w:rsidR="001F33B6" w:rsidRPr="006925D7">
        <w:t xml:space="preserve"> 5</w:t>
      </w:r>
      <w:bookmarkEnd w:id="16"/>
      <w:r w:rsidR="005E7404">
        <w:t>.</w:t>
      </w:r>
    </w:p>
    <w:p w14:paraId="0F7D5A59" w14:textId="310C792A" w:rsidR="00897B01" w:rsidRPr="00171DE2" w:rsidRDefault="00171DE2" w:rsidP="005E7404">
      <w:pPr>
        <w:pStyle w:val="Agency-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rPr>
      </w:pPr>
      <w:r w:rsidRPr="00171DE2">
        <w:rPr>
          <w:b/>
          <w:bCs/>
        </w:rPr>
        <w:t>System ocen</w:t>
      </w:r>
      <w:r w:rsidR="00AE6F91">
        <w:rPr>
          <w:b/>
          <w:bCs/>
        </w:rPr>
        <w:t>iania</w:t>
      </w:r>
      <w:r w:rsidRPr="00171DE2">
        <w:rPr>
          <w:b/>
          <w:bCs/>
        </w:rPr>
        <w:t xml:space="preserve"> będzie wspierał ocenianie </w:t>
      </w:r>
      <w:r>
        <w:rPr>
          <w:b/>
          <w:bCs/>
        </w:rPr>
        <w:t>na rzecz u</w:t>
      </w:r>
      <w:r w:rsidR="00A44AE0">
        <w:rPr>
          <w:b/>
          <w:bCs/>
        </w:rPr>
        <w:t xml:space="preserve">czenia się oraz pomiaru efektów </w:t>
      </w:r>
      <w:r w:rsidRPr="00171DE2">
        <w:rPr>
          <w:b/>
          <w:bCs/>
        </w:rPr>
        <w:t xml:space="preserve">uczenia się dostosowane do elastycznego programu nauczania, który uznaje </w:t>
      </w:r>
      <w:r w:rsidR="00A44AE0">
        <w:rPr>
          <w:b/>
          <w:bCs/>
        </w:rPr>
        <w:t>zarówno edukacyjne</w:t>
      </w:r>
      <w:r w:rsidR="00AE6F91">
        <w:rPr>
          <w:b/>
          <w:bCs/>
        </w:rPr>
        <w:t>,</w:t>
      </w:r>
      <w:r w:rsidR="00A44AE0">
        <w:rPr>
          <w:b/>
          <w:bCs/>
        </w:rPr>
        <w:t xml:space="preserve"> jak </w:t>
      </w:r>
      <w:r w:rsidRPr="00171DE2">
        <w:rPr>
          <w:b/>
          <w:bCs/>
        </w:rPr>
        <w:t>i szersz</w:t>
      </w:r>
      <w:r w:rsidR="005E7404">
        <w:rPr>
          <w:b/>
          <w:bCs/>
        </w:rPr>
        <w:t xml:space="preserve">e </w:t>
      </w:r>
      <w:r w:rsidRPr="00171DE2">
        <w:rPr>
          <w:b/>
          <w:bCs/>
        </w:rPr>
        <w:t xml:space="preserve">osiągnięcia wszystkich </w:t>
      </w:r>
      <w:r w:rsidR="005E7404">
        <w:rPr>
          <w:b/>
          <w:bCs/>
        </w:rPr>
        <w:t xml:space="preserve">osób </w:t>
      </w:r>
      <w:r w:rsidRPr="00171DE2">
        <w:rPr>
          <w:b/>
          <w:bCs/>
        </w:rPr>
        <w:t xml:space="preserve">uczących się. Skuteczne procesy oceniania umożliwią nauczycielom rozpoznawanie barier w uczeniu się i zapewnią wsparcie </w:t>
      </w:r>
      <w:r w:rsidR="00A44AE0">
        <w:rPr>
          <w:b/>
          <w:bCs/>
        </w:rPr>
        <w:t xml:space="preserve">udzielane </w:t>
      </w:r>
      <w:r w:rsidRPr="00171DE2">
        <w:rPr>
          <w:b/>
          <w:bCs/>
        </w:rPr>
        <w:t>w sposób</w:t>
      </w:r>
      <w:r w:rsidR="00A44AE0">
        <w:rPr>
          <w:b/>
          <w:bCs/>
        </w:rPr>
        <w:t xml:space="preserve"> elastyczny</w:t>
      </w:r>
      <w:r w:rsidRPr="00171DE2">
        <w:rPr>
          <w:b/>
          <w:bCs/>
        </w:rPr>
        <w:t>, któr</w:t>
      </w:r>
      <w:r w:rsidR="005E7404">
        <w:rPr>
          <w:b/>
          <w:bCs/>
        </w:rPr>
        <w:t>e</w:t>
      </w:r>
      <w:r w:rsidRPr="00171DE2">
        <w:rPr>
          <w:b/>
          <w:bCs/>
        </w:rPr>
        <w:t xml:space="preserve"> nie zależy od </w:t>
      </w:r>
      <w:r w:rsidR="00A44AE0">
        <w:rPr>
          <w:b/>
          <w:bCs/>
        </w:rPr>
        <w:t xml:space="preserve">posiadania </w:t>
      </w:r>
      <w:r w:rsidRPr="00171DE2">
        <w:rPr>
          <w:b/>
          <w:bCs/>
        </w:rPr>
        <w:t>formaln</w:t>
      </w:r>
      <w:r w:rsidR="00A44AE0">
        <w:rPr>
          <w:b/>
          <w:bCs/>
        </w:rPr>
        <w:t xml:space="preserve">ych </w:t>
      </w:r>
      <w:r w:rsidR="00AE6F91">
        <w:rPr>
          <w:b/>
          <w:bCs/>
        </w:rPr>
        <w:t>opinii/orzeczeń</w:t>
      </w:r>
      <w:r w:rsidRPr="00171DE2">
        <w:rPr>
          <w:b/>
          <w:bCs/>
        </w:rPr>
        <w:t>.</w:t>
      </w:r>
    </w:p>
    <w:p w14:paraId="2AC971E6" w14:textId="49A3511C" w:rsidR="00897B01" w:rsidRPr="00A44AE0" w:rsidRDefault="00A44AE0" w:rsidP="007A3E65">
      <w:pPr>
        <w:pStyle w:val="Agency-body-text"/>
        <w:jc w:val="both"/>
        <w:rPr>
          <w:b/>
          <w:bCs/>
        </w:rPr>
      </w:pPr>
      <w:r w:rsidRPr="00A44AE0">
        <w:rPr>
          <w:b/>
          <w:bCs/>
        </w:rPr>
        <w:t xml:space="preserve">Ważne jest, by wszyscy zainteresowani rozumieli różne funkcje oceniania i zależności między nimi. Różne sposoby oceniania powinny pasować do siebie i tworzyć spójne ramy, </w:t>
      </w:r>
      <w:r w:rsidRPr="00A44AE0">
        <w:rPr>
          <w:b/>
          <w:bCs/>
        </w:rPr>
        <w:lastRenderedPageBreak/>
        <w:t xml:space="preserve">które umożliwiają zespołom szkolnym identyfikację i dzielenie się informacjami potrzebnymi do wspierania wszystkich uczniów. Nauczyciele, rodzice/opiekunowie, pracownicy specjalistyczni i zespoły </w:t>
      </w:r>
      <w:r>
        <w:rPr>
          <w:b/>
          <w:bCs/>
        </w:rPr>
        <w:t>wielo</w:t>
      </w:r>
      <w:r w:rsidRPr="00A44AE0">
        <w:rPr>
          <w:b/>
          <w:bCs/>
        </w:rPr>
        <w:t xml:space="preserve">dyscyplinarne powinni współpracować w </w:t>
      </w:r>
      <w:r>
        <w:rPr>
          <w:b/>
          <w:bCs/>
        </w:rPr>
        <w:t xml:space="preserve">zakresie </w:t>
      </w:r>
      <w:r w:rsidRPr="00A44AE0">
        <w:rPr>
          <w:b/>
          <w:bCs/>
        </w:rPr>
        <w:t>oce</w:t>
      </w:r>
      <w:r>
        <w:rPr>
          <w:b/>
          <w:bCs/>
        </w:rPr>
        <w:t>ny</w:t>
      </w:r>
      <w:r w:rsidRPr="00A44AE0">
        <w:rPr>
          <w:b/>
          <w:bCs/>
        </w:rPr>
        <w:t xml:space="preserve"> uczniów, zwłaszcza tych, którzy mają bardziej złożone potrzeby.</w:t>
      </w:r>
    </w:p>
    <w:p w14:paraId="6FC9D9F0" w14:textId="12FCDE37" w:rsidR="00512EC1" w:rsidRPr="00897B01" w:rsidRDefault="00A44AE0" w:rsidP="007A3E65">
      <w:pPr>
        <w:pStyle w:val="Agency-body-text"/>
        <w:jc w:val="both"/>
      </w:pPr>
      <w:r>
        <w:t>System oceny powinien</w:t>
      </w:r>
      <w:r w:rsidR="00512EC1" w:rsidRPr="00897B01">
        <w:t>:</w:t>
      </w:r>
    </w:p>
    <w:p w14:paraId="08F042B9" w14:textId="7F03D2B3" w:rsidR="00A44AE0" w:rsidRPr="00A44AE0" w:rsidRDefault="00A44AE0" w:rsidP="007A3E65">
      <w:pPr>
        <w:pStyle w:val="Agency-body-text"/>
        <w:numPr>
          <w:ilvl w:val="0"/>
          <w:numId w:val="5"/>
        </w:numPr>
        <w:jc w:val="both"/>
      </w:pPr>
      <w:r w:rsidRPr="00A44AE0">
        <w:t>Wspiera</w:t>
      </w:r>
      <w:r>
        <w:t>ć</w:t>
      </w:r>
      <w:r w:rsidRPr="00A44AE0">
        <w:t xml:space="preserve"> </w:t>
      </w:r>
      <w:r>
        <w:t xml:space="preserve">proces </w:t>
      </w:r>
      <w:r w:rsidRPr="00A44AE0">
        <w:t xml:space="preserve">uczenia się. </w:t>
      </w:r>
      <w:r>
        <w:t xml:space="preserve">Zarówno </w:t>
      </w:r>
      <w:r w:rsidRPr="00A44AE0">
        <w:t xml:space="preserve">monitorowanie postępów, wykorzystywanie informacji zwrotnej do poprawy </w:t>
      </w:r>
      <w:r w:rsidR="005E7404">
        <w:t xml:space="preserve">procesu </w:t>
      </w:r>
      <w:r w:rsidRPr="00A44AE0">
        <w:t xml:space="preserve">uczenia się </w:t>
      </w:r>
      <w:r>
        <w:t>oraz</w:t>
      </w:r>
      <w:r w:rsidRPr="00A44AE0">
        <w:t xml:space="preserve"> dostosowani</w:t>
      </w:r>
      <w:r>
        <w:t>e</w:t>
      </w:r>
      <w:r w:rsidRPr="00A44AE0">
        <w:t xml:space="preserve"> programu i metod nauczania, identyfikowanie i pokonywanie barier w uczeniu się oraz podejmowanie decyzji o rodzaju i poziomie wymaganego wsparcia.</w:t>
      </w:r>
    </w:p>
    <w:p w14:paraId="043C57B3" w14:textId="02E2BA6F" w:rsidR="00A44AE0" w:rsidRPr="00A44AE0" w:rsidRDefault="00EF6FC2" w:rsidP="007A3E65">
      <w:pPr>
        <w:pStyle w:val="Agency-body-text"/>
        <w:numPr>
          <w:ilvl w:val="0"/>
          <w:numId w:val="5"/>
        </w:numPr>
        <w:jc w:val="both"/>
      </w:pPr>
      <w:r>
        <w:t xml:space="preserve">Charakteryzować </w:t>
      </w:r>
      <w:r w:rsidR="00A44AE0" w:rsidRPr="00A44AE0">
        <w:t xml:space="preserve">poszczególnych uczniów. </w:t>
      </w:r>
      <w:r w:rsidR="00A44AE0">
        <w:t>W tym</w:t>
      </w:r>
      <w:r>
        <w:t xml:space="preserve"> obejmować takie działania jak</w:t>
      </w:r>
      <w:r w:rsidR="00A44AE0">
        <w:t xml:space="preserve">: </w:t>
      </w:r>
      <w:r w:rsidR="00A44AE0" w:rsidRPr="00A44AE0">
        <w:t>podsumowywanie, raportowanie, poświadczanie postępów i osiągnięć, przydzielanie zasobów i grupowanie uczniów w celu analizy danych.</w:t>
      </w:r>
    </w:p>
    <w:p w14:paraId="764E9E5D" w14:textId="51252759" w:rsidR="00A44AE0" w:rsidRPr="00A44AE0" w:rsidRDefault="00A44AE0" w:rsidP="007A3E65">
      <w:pPr>
        <w:pStyle w:val="Agency-body-text"/>
        <w:numPr>
          <w:ilvl w:val="0"/>
          <w:numId w:val="5"/>
        </w:numPr>
        <w:jc w:val="both"/>
      </w:pPr>
      <w:r>
        <w:t xml:space="preserve">Poddawać </w:t>
      </w:r>
      <w:r w:rsidR="001F22C2">
        <w:t>ewaluacji</w:t>
      </w:r>
      <w:r w:rsidR="001F22C2" w:rsidRPr="00A44AE0">
        <w:t xml:space="preserve"> </w:t>
      </w:r>
      <w:r w:rsidRPr="00A44AE0">
        <w:t>szk</w:t>
      </w:r>
      <w:r>
        <w:t>oły</w:t>
      </w:r>
      <w:r w:rsidRPr="00A44AE0">
        <w:t>, inicjatyw</w:t>
      </w:r>
      <w:r>
        <w:t>y</w:t>
      </w:r>
      <w:r w:rsidRPr="00A44AE0">
        <w:t xml:space="preserve"> lub interwencj</w:t>
      </w:r>
      <w:r>
        <w:t>e</w:t>
      </w:r>
      <w:r w:rsidRPr="00A44AE0">
        <w:t xml:space="preserve">. Może to wymagać </w:t>
      </w:r>
      <w:r>
        <w:t xml:space="preserve">zbierania </w:t>
      </w:r>
      <w:r w:rsidRPr="00A44AE0">
        <w:t xml:space="preserve">danych w celu monitorowania i oceny strategii </w:t>
      </w:r>
      <w:r>
        <w:t xml:space="preserve">udzielanego </w:t>
      </w:r>
      <w:r w:rsidRPr="00A44AE0">
        <w:t xml:space="preserve">wsparcia, programu nauczania, </w:t>
      </w:r>
      <w:r>
        <w:t>stosowanych metod kształcenia</w:t>
      </w:r>
      <w:r w:rsidR="007A3E65">
        <w:t xml:space="preserve">, </w:t>
      </w:r>
      <w:r w:rsidRPr="00A44AE0">
        <w:t xml:space="preserve">organizacji szkoły, a także </w:t>
      </w:r>
      <w:r w:rsidR="00EF6FC2">
        <w:t>współ</w:t>
      </w:r>
      <w:r w:rsidRPr="00A44AE0">
        <w:t>pracy z innymi specjalistami.</w:t>
      </w:r>
    </w:p>
    <w:p w14:paraId="04305236" w14:textId="47ABA25E" w:rsidR="007A3E65" w:rsidRPr="007A3E65" w:rsidRDefault="007A3E65" w:rsidP="00CD66AA">
      <w:pPr>
        <w:pStyle w:val="Agency-body-text"/>
        <w:jc w:val="both"/>
      </w:pPr>
      <w:r>
        <w:t xml:space="preserve">W ramach wspierania procesu </w:t>
      </w:r>
      <w:r w:rsidRPr="007A3E65">
        <w:t>uczenia się (ocena dla rozwoju)</w:t>
      </w:r>
      <w:r>
        <w:t xml:space="preserve"> uznaje się</w:t>
      </w:r>
      <w:r w:rsidRPr="007A3E65">
        <w:t xml:space="preserve">, że bieżąca ocena dokonywana przez nauczycieli jest kluczową częścią procesu uczenia się, uwzględniającą zarówno </w:t>
      </w:r>
      <w:r w:rsidR="00AE6F91">
        <w:t>charakterystykę funkcjonowania</w:t>
      </w:r>
      <w:r w:rsidRPr="007A3E65">
        <w:t xml:space="preserve"> osoby uczącej się, jak i zmienne środowisk</w:t>
      </w:r>
      <w:r>
        <w:t>owe</w:t>
      </w:r>
      <w:r w:rsidRPr="007A3E65">
        <w:t xml:space="preserve">. </w:t>
      </w:r>
      <w:r>
        <w:t>Taka ocena o</w:t>
      </w:r>
      <w:r w:rsidRPr="007A3E65">
        <w:t>bejmuje pełen zakres efektów uczenia się (tj.</w:t>
      </w:r>
      <w:r w:rsidR="005E7404">
        <w:t xml:space="preserve"> </w:t>
      </w:r>
      <w:r w:rsidR="0004518C">
        <w:t>na poziomie edukacji</w:t>
      </w:r>
      <w:r w:rsidR="00EF6FC2">
        <w:t>,</w:t>
      </w:r>
      <w:r w:rsidR="0004518C">
        <w:t xml:space="preserve"> jak</w:t>
      </w:r>
      <w:r w:rsidR="00EF6FC2">
        <w:t xml:space="preserve"> </w:t>
      </w:r>
      <w:r w:rsidR="0004518C">
        <w:t>i w szerszym zakresie</w:t>
      </w:r>
      <w:r w:rsidRPr="007A3E65">
        <w:t xml:space="preserve">) poprzez program nauczania oraz zajęcia nieformalne, pozaformalne i pozalekcyjne. </w:t>
      </w:r>
    </w:p>
    <w:p w14:paraId="46FE8213" w14:textId="1E80BD2D" w:rsidR="007A3E65" w:rsidRPr="007A3E65" w:rsidRDefault="007A3E65" w:rsidP="00CD66AA">
      <w:pPr>
        <w:pStyle w:val="Agency-body-text"/>
        <w:jc w:val="both"/>
      </w:pPr>
      <w:r w:rsidRPr="007A3E65">
        <w:t xml:space="preserve">Taka ocena powinna również umożliwić wczesną identyfikację uczniów, którzy mogą wymagać dodatkowego wsparcia (tj. uczniów, którzy nie </w:t>
      </w:r>
      <w:r>
        <w:t xml:space="preserve">dokonują </w:t>
      </w:r>
      <w:r w:rsidRPr="007A3E65">
        <w:t xml:space="preserve">oczekiwanych postępów w </w:t>
      </w:r>
      <w:r>
        <w:t xml:space="preserve">trakcie realizacji całego </w:t>
      </w:r>
      <w:r w:rsidRPr="007A3E65">
        <w:t>program</w:t>
      </w:r>
      <w:r>
        <w:t>u</w:t>
      </w:r>
      <w:r w:rsidRPr="007A3E65">
        <w:t xml:space="preserve"> nauczania </w:t>
      </w:r>
      <w:r>
        <w:t xml:space="preserve">albo </w:t>
      </w:r>
      <w:r w:rsidRPr="007A3E65">
        <w:t>uczniów zdolniejszych lub utalentowanych, którzy mogą wymagać większego</w:t>
      </w:r>
      <w:r>
        <w:t xml:space="preserve"> nakładu pracy</w:t>
      </w:r>
      <w:r w:rsidRPr="007A3E65">
        <w:t xml:space="preserve">). </w:t>
      </w:r>
      <w:r>
        <w:t xml:space="preserve">Jeśli zidentyfikowano </w:t>
      </w:r>
      <w:r w:rsidRPr="007A3E65">
        <w:t xml:space="preserve">bariery w uczeniu się, a szereg interwencji </w:t>
      </w:r>
      <w:r>
        <w:t xml:space="preserve">podejmowanych </w:t>
      </w:r>
      <w:r w:rsidRPr="007A3E65">
        <w:t xml:space="preserve">w klasie </w:t>
      </w:r>
      <w:r>
        <w:t xml:space="preserve">szkolnej </w:t>
      </w:r>
      <w:r w:rsidRPr="007A3E65">
        <w:t xml:space="preserve">nie </w:t>
      </w:r>
      <w:r>
        <w:t xml:space="preserve">przyczynił się do zwiększenia </w:t>
      </w:r>
      <w:r w:rsidRPr="007A3E65">
        <w:t>postępów</w:t>
      </w:r>
      <w:r>
        <w:t xml:space="preserve"> uczniów</w:t>
      </w:r>
      <w:r w:rsidRPr="007A3E65">
        <w:t>, konieczn</w:t>
      </w:r>
      <w:r>
        <w:t xml:space="preserve">e jest przeprowadzenie </w:t>
      </w:r>
      <w:r w:rsidRPr="007A3E65">
        <w:t>dalsz</w:t>
      </w:r>
      <w:r>
        <w:t>ej</w:t>
      </w:r>
      <w:r w:rsidRPr="007A3E65">
        <w:t xml:space="preserve"> ocen</w:t>
      </w:r>
      <w:r>
        <w:t>y</w:t>
      </w:r>
      <w:r w:rsidRPr="007A3E65">
        <w:t xml:space="preserve"> (być może z udziałem nauczycieli specjalistów i/</w:t>
      </w:r>
      <w:r>
        <w:t xml:space="preserve"> </w:t>
      </w:r>
      <w:r w:rsidRPr="007A3E65">
        <w:t>lub zespołów</w:t>
      </w:r>
      <w:r>
        <w:t xml:space="preserve"> wielo</w:t>
      </w:r>
      <w:r w:rsidR="00AE6F91">
        <w:t>specjalistycznych</w:t>
      </w:r>
      <w:r w:rsidRPr="007A3E65">
        <w:t xml:space="preserve">). Wyniki tej oceny powinny dostarczyć nauczycielom dalszych wskazówek na temat </w:t>
      </w:r>
      <w:r w:rsidR="00CD66AA">
        <w:t xml:space="preserve">stosowanego </w:t>
      </w:r>
      <w:r w:rsidRPr="007A3E65">
        <w:t xml:space="preserve">podejścia do nauki i </w:t>
      </w:r>
      <w:r w:rsidR="00CD66AA">
        <w:t xml:space="preserve">udzielania odpowiedniego </w:t>
      </w:r>
      <w:r w:rsidRPr="007A3E65">
        <w:t xml:space="preserve">wsparcia, a także zasobów potrzebnych w </w:t>
      </w:r>
      <w:r w:rsidR="00CD66AA">
        <w:t xml:space="preserve">danej </w:t>
      </w:r>
      <w:r w:rsidRPr="007A3E65">
        <w:t>klasie (n</w:t>
      </w:r>
      <w:r w:rsidR="0004518C">
        <w:t>p</w:t>
      </w:r>
      <w:r w:rsidR="001177BB">
        <w:t>.</w:t>
      </w:r>
      <w:r w:rsidR="0004518C">
        <w:t>:</w:t>
      </w:r>
      <w:r w:rsidRPr="007A3E65">
        <w:t xml:space="preserve"> sposobów dostępu do materiałów edukacyjnych, przetwarzania informacji i </w:t>
      </w:r>
      <w:r w:rsidR="00CD66AA">
        <w:t xml:space="preserve">komunikowania </w:t>
      </w:r>
      <w:r w:rsidRPr="007A3E65">
        <w:t>wyników).</w:t>
      </w:r>
    </w:p>
    <w:p w14:paraId="40703DF8" w14:textId="616E2526" w:rsidR="008B582D" w:rsidRPr="001177BB" w:rsidRDefault="001177BB" w:rsidP="00CD66AA">
      <w:pPr>
        <w:pStyle w:val="Agency-body-text"/>
        <w:jc w:val="both"/>
      </w:pPr>
      <w:r w:rsidRPr="001177BB">
        <w:t xml:space="preserve">Ocena może być powiązana z </w:t>
      </w:r>
      <w:r>
        <w:t>uprawnieniem do otrzymania</w:t>
      </w:r>
      <w:r w:rsidRPr="001177BB">
        <w:t xml:space="preserve"> dodatkowych zasobów lub </w:t>
      </w:r>
      <w:r>
        <w:t xml:space="preserve">świadczeń </w:t>
      </w:r>
      <w:r w:rsidRPr="001177BB">
        <w:t>(n</w:t>
      </w:r>
      <w:r w:rsidR="0004518C">
        <w:t>p</w:t>
      </w:r>
      <w:r>
        <w:t>.</w:t>
      </w:r>
      <w:r w:rsidR="0004518C">
        <w:t>:</w:t>
      </w:r>
      <w:r w:rsidRPr="001177BB">
        <w:t xml:space="preserve"> </w:t>
      </w:r>
      <w:r>
        <w:t xml:space="preserve">pomoc </w:t>
      </w:r>
      <w:r w:rsidRPr="001177BB">
        <w:t xml:space="preserve">nauczycieli specjalistów w przypadku uczniów z </w:t>
      </w:r>
      <w:r w:rsidR="00AE6F91">
        <w:t xml:space="preserve">dysfunkcją </w:t>
      </w:r>
      <w:r w:rsidRPr="001177BB">
        <w:t>wzroku), ale nie powinna prowadzić do etykietowania uczniów lub</w:t>
      </w:r>
      <w:r>
        <w:t xml:space="preserve"> nauki w od</w:t>
      </w:r>
      <w:r w:rsidR="00AE6F91">
        <w:t>rębnych formach</w:t>
      </w:r>
      <w:r w:rsidRPr="001177BB">
        <w:t>. Jak wspomniano powyżej (Założenie 3</w:t>
      </w:r>
      <w:r>
        <w:t>.</w:t>
      </w:r>
      <w:r w:rsidRPr="001177BB">
        <w:t xml:space="preserve">), wsparcie powinno być udzielane na podstawie </w:t>
      </w:r>
      <w:r>
        <w:t xml:space="preserve">analizy </w:t>
      </w:r>
      <w:r w:rsidRPr="001177BB">
        <w:t xml:space="preserve">potrzeb ucznia, bez wymogu </w:t>
      </w:r>
      <w:r>
        <w:t xml:space="preserve">przedkładania </w:t>
      </w:r>
      <w:r w:rsidRPr="001177BB">
        <w:t>formaln</w:t>
      </w:r>
      <w:r>
        <w:t xml:space="preserve">ych </w:t>
      </w:r>
      <w:r w:rsidR="00AE6F91">
        <w:t>opinii/orzeczeń</w:t>
      </w:r>
      <w:r w:rsidRPr="001177BB">
        <w:t>, któr</w:t>
      </w:r>
      <w:r>
        <w:t>e</w:t>
      </w:r>
      <w:r w:rsidRPr="001177BB">
        <w:t xml:space="preserve"> może prowadzić do </w:t>
      </w:r>
      <w:r w:rsidR="00AE6F91">
        <w:t xml:space="preserve">[negatywnych] </w:t>
      </w:r>
      <w:r w:rsidRPr="001177BB">
        <w:t>zachowań strategicznych.</w:t>
      </w:r>
    </w:p>
    <w:p w14:paraId="61BA15B3" w14:textId="6CAF682E" w:rsidR="008B582D" w:rsidRPr="001177BB" w:rsidRDefault="001177BB" w:rsidP="0004518C">
      <w:pPr>
        <w:jc w:val="both"/>
        <w:rPr>
          <w:i/>
          <w:iCs/>
          <w:color w:val="000000"/>
        </w:rPr>
      </w:pPr>
      <w:r w:rsidRPr="0004518C">
        <w:rPr>
          <w:rFonts w:asciiTheme="majorHAnsi" w:hAnsiTheme="majorHAnsi" w:cstheme="majorHAnsi"/>
          <w:color w:val="000000"/>
        </w:rPr>
        <w:t xml:space="preserve">Wykorzystywanie informacji pozyskanych w trakcie oceny do podsumowywania, raportowania lub certyfikowania wymaga krytycznej refleksji nad znaczeniem terminu „sukces” (Alves, 2020, str. 291). Osiągnięcia wykraczają poza wyniki edukacyjne (np. mierzone </w:t>
      </w:r>
      <w:r w:rsidR="00AE6F91">
        <w:rPr>
          <w:rFonts w:asciiTheme="majorHAnsi" w:hAnsiTheme="majorHAnsi" w:cstheme="majorHAnsi"/>
          <w:color w:val="000000"/>
        </w:rPr>
        <w:t>za pomocą</w:t>
      </w:r>
      <w:r w:rsidRPr="0004518C">
        <w:rPr>
          <w:rFonts w:asciiTheme="majorHAnsi" w:hAnsiTheme="majorHAnsi" w:cstheme="majorHAnsi"/>
          <w:color w:val="000000"/>
        </w:rPr>
        <w:t xml:space="preserve"> </w:t>
      </w:r>
      <w:r w:rsidR="00AE6F91">
        <w:rPr>
          <w:rFonts w:asciiTheme="majorHAnsi" w:hAnsiTheme="majorHAnsi" w:cstheme="majorHAnsi"/>
          <w:color w:val="000000"/>
        </w:rPr>
        <w:t>wy</w:t>
      </w:r>
      <w:r w:rsidRPr="0004518C">
        <w:rPr>
          <w:rFonts w:asciiTheme="majorHAnsi" w:hAnsiTheme="majorHAnsi" w:cstheme="majorHAnsi"/>
          <w:color w:val="000000"/>
        </w:rPr>
        <w:t xml:space="preserve">standaryzowanych testów) i powinny uwzględniać „krytyczne </w:t>
      </w:r>
      <w:r w:rsidRPr="0004518C">
        <w:rPr>
          <w:rFonts w:asciiTheme="majorHAnsi" w:hAnsiTheme="majorHAnsi" w:cstheme="majorHAnsi"/>
          <w:color w:val="000000"/>
        </w:rPr>
        <w:lastRenderedPageBreak/>
        <w:t xml:space="preserve">myślenie, umiejętności współpracy, kreatywność, niezależność i umiejętność rozwiązywania problemów” </w:t>
      </w:r>
      <w:r w:rsidR="008B582D" w:rsidRPr="0004518C">
        <w:rPr>
          <w:rFonts w:asciiTheme="majorHAnsi" w:hAnsiTheme="majorHAnsi" w:cstheme="majorHAnsi"/>
          <w:color w:val="000000"/>
        </w:rPr>
        <w:t xml:space="preserve">(European Agency, </w:t>
      </w:r>
      <w:r w:rsidR="008B582D" w:rsidRPr="0004518C">
        <w:rPr>
          <w:rFonts w:asciiTheme="majorHAnsi" w:hAnsiTheme="majorHAnsi" w:cstheme="majorHAnsi"/>
        </w:rPr>
        <w:t>2017</w:t>
      </w:r>
      <w:r w:rsidR="003477B4" w:rsidRPr="0004518C">
        <w:rPr>
          <w:rFonts w:asciiTheme="majorHAnsi" w:hAnsiTheme="majorHAnsi" w:cstheme="majorHAnsi"/>
        </w:rPr>
        <w:t>b</w:t>
      </w:r>
      <w:r w:rsidR="008B582D" w:rsidRPr="0004518C">
        <w:rPr>
          <w:rFonts w:asciiTheme="majorHAnsi" w:hAnsiTheme="majorHAnsi" w:cstheme="majorHAnsi"/>
        </w:rPr>
        <w:t xml:space="preserve">, </w:t>
      </w:r>
      <w:r w:rsidRPr="0004518C">
        <w:rPr>
          <w:rFonts w:asciiTheme="majorHAnsi" w:hAnsiTheme="majorHAnsi" w:cstheme="majorHAnsi"/>
          <w:color w:val="000000"/>
        </w:rPr>
        <w:t>str.</w:t>
      </w:r>
      <w:r w:rsidR="008B582D" w:rsidRPr="0004518C">
        <w:rPr>
          <w:rFonts w:asciiTheme="majorHAnsi" w:hAnsiTheme="majorHAnsi" w:cstheme="majorHAnsi"/>
          <w:color w:val="000000"/>
        </w:rPr>
        <w:t xml:space="preserve"> 19). </w:t>
      </w:r>
      <w:r w:rsidRPr="0004518C">
        <w:rPr>
          <w:rFonts w:asciiTheme="majorHAnsi" w:hAnsiTheme="majorHAnsi" w:cstheme="majorHAnsi"/>
          <w:color w:val="000000"/>
          <w:szCs w:val="20"/>
          <w:lang w:eastAsia="en-US"/>
        </w:rPr>
        <w:t>Jak konkluduje Alves:</w:t>
      </w:r>
      <w:r w:rsidRPr="0004518C">
        <w:rPr>
          <w:rFonts w:asciiTheme="majorHAnsi" w:hAnsiTheme="majorHAnsi" w:cstheme="majorHAnsi"/>
          <w:i/>
          <w:iCs/>
          <w:color w:val="000000"/>
          <w:szCs w:val="20"/>
          <w:lang w:eastAsia="en-US"/>
        </w:rPr>
        <w:t xml:space="preserve"> </w:t>
      </w:r>
      <w:r w:rsidR="0004518C">
        <w:rPr>
          <w:rFonts w:asciiTheme="majorHAnsi" w:hAnsiTheme="majorHAnsi" w:cstheme="majorHAnsi"/>
          <w:i/>
          <w:iCs/>
          <w:color w:val="000000"/>
          <w:szCs w:val="20"/>
          <w:lang w:eastAsia="en-US"/>
        </w:rPr>
        <w:t>znaczenia pojęcia „</w:t>
      </w:r>
      <w:r w:rsidRPr="0004518C">
        <w:rPr>
          <w:rFonts w:asciiTheme="majorHAnsi" w:hAnsiTheme="majorHAnsi" w:cstheme="majorHAnsi"/>
          <w:i/>
          <w:iCs/>
          <w:color w:val="000000"/>
          <w:szCs w:val="20"/>
          <w:lang w:eastAsia="en-US"/>
        </w:rPr>
        <w:t>osiągnię</w:t>
      </w:r>
      <w:r w:rsidR="0004518C">
        <w:rPr>
          <w:rFonts w:asciiTheme="majorHAnsi" w:hAnsiTheme="majorHAnsi" w:cstheme="majorHAnsi"/>
          <w:i/>
          <w:iCs/>
          <w:color w:val="000000"/>
          <w:szCs w:val="20"/>
          <w:lang w:eastAsia="en-US"/>
        </w:rPr>
        <w:t>cia”</w:t>
      </w:r>
      <w:r w:rsidRPr="0004518C">
        <w:rPr>
          <w:rFonts w:asciiTheme="majorHAnsi" w:hAnsiTheme="majorHAnsi" w:cstheme="majorHAnsi"/>
          <w:i/>
          <w:iCs/>
          <w:color w:val="000000"/>
          <w:szCs w:val="20"/>
          <w:lang w:eastAsia="en-US"/>
        </w:rPr>
        <w:t xml:space="preserve"> są</w:t>
      </w:r>
      <w:r w:rsidRPr="001177BB">
        <w:rPr>
          <w:rFonts w:ascii="Calibri" w:hAnsi="Calibri"/>
          <w:i/>
          <w:iCs/>
          <w:color w:val="000000"/>
          <w:szCs w:val="20"/>
          <w:lang w:eastAsia="en-US"/>
        </w:rPr>
        <w:t xml:space="preserve"> związane z programem nauczania oraz z tym, jakie rodzaje i formy wiedzy są cenione</w:t>
      </w:r>
      <w:r>
        <w:rPr>
          <w:rFonts w:ascii="Calibri" w:hAnsi="Calibri"/>
          <w:i/>
          <w:iCs/>
          <w:color w:val="000000"/>
          <w:szCs w:val="20"/>
          <w:lang w:eastAsia="en-US"/>
        </w:rPr>
        <w:t xml:space="preserve"> </w:t>
      </w:r>
      <w:r w:rsidR="00B43C96" w:rsidRPr="001177BB">
        <w:rPr>
          <w:iCs/>
          <w:color w:val="000000"/>
        </w:rPr>
        <w:t>(</w:t>
      </w:r>
      <w:r w:rsidRPr="001177BB">
        <w:rPr>
          <w:iCs/>
          <w:color w:val="000000"/>
        </w:rPr>
        <w:t>str.</w:t>
      </w:r>
      <w:r w:rsidR="0053781E" w:rsidRPr="001177BB">
        <w:rPr>
          <w:iCs/>
          <w:color w:val="000000"/>
        </w:rPr>
        <w:t xml:space="preserve"> </w:t>
      </w:r>
      <w:r w:rsidR="008B582D" w:rsidRPr="001177BB">
        <w:rPr>
          <w:iCs/>
          <w:color w:val="000000"/>
        </w:rPr>
        <w:t>282</w:t>
      </w:r>
      <w:r w:rsidR="00B43C96" w:rsidRPr="001177BB">
        <w:rPr>
          <w:iCs/>
          <w:color w:val="000000"/>
        </w:rPr>
        <w:t>)</w:t>
      </w:r>
      <w:r w:rsidR="008B582D" w:rsidRPr="001177BB">
        <w:rPr>
          <w:i/>
          <w:iCs/>
          <w:color w:val="000000"/>
        </w:rPr>
        <w:t>.</w:t>
      </w:r>
    </w:p>
    <w:p w14:paraId="69BAADB4" w14:textId="509A7796" w:rsidR="00D20DF8" w:rsidRPr="00D20DF8" w:rsidRDefault="00D20DF8" w:rsidP="006B5F56">
      <w:pPr>
        <w:pStyle w:val="Agency-body-text"/>
        <w:jc w:val="both"/>
      </w:pPr>
      <w:r>
        <w:t xml:space="preserve">Mimo iż </w:t>
      </w:r>
      <w:r w:rsidRPr="00D20DF8">
        <w:t xml:space="preserve">mogą istnieć pewne obawy co do rzetelności oceny dokonywanej przez nauczycieli, można poprawić </w:t>
      </w:r>
      <w:r>
        <w:t xml:space="preserve">sposób jej przeprowadzania dzięki </w:t>
      </w:r>
      <w:r w:rsidRPr="00D20DF8">
        <w:t>moder</w:t>
      </w:r>
      <w:r w:rsidR="00D964C6">
        <w:t>owaniu tego procesu</w:t>
      </w:r>
      <w:r w:rsidRPr="00D20DF8">
        <w:t xml:space="preserve"> (tj. </w:t>
      </w:r>
      <w:r w:rsidR="0004518C">
        <w:t xml:space="preserve">nauczyciele dzielą się między sobą </w:t>
      </w:r>
      <w:r>
        <w:t xml:space="preserve">wynikami </w:t>
      </w:r>
      <w:r w:rsidR="0004518C">
        <w:t xml:space="preserve">dokonywanej </w:t>
      </w:r>
      <w:r w:rsidRPr="00D20DF8">
        <w:t>ocen</w:t>
      </w:r>
      <w:r>
        <w:t>y</w:t>
      </w:r>
      <w:r w:rsidRPr="00D20DF8">
        <w:t xml:space="preserve"> w celu zwiększenia </w:t>
      </w:r>
      <w:r>
        <w:t xml:space="preserve">jej </w:t>
      </w:r>
      <w:r w:rsidRPr="00D20DF8">
        <w:t>spójności), która sama w sobie może zapewnić cenne możliwości rozwoju zawodowego.</w:t>
      </w:r>
    </w:p>
    <w:p w14:paraId="2F6A63F8" w14:textId="7BA98D30" w:rsidR="00A10E15" w:rsidRPr="006B5F56" w:rsidRDefault="00D20DF8" w:rsidP="006B5F56">
      <w:pPr>
        <w:pStyle w:val="Agency-body-text"/>
        <w:jc w:val="both"/>
      </w:pPr>
      <w:r w:rsidRPr="00D20DF8">
        <w:t>Należy zauważyć, że negatywne skutki mogą pojawić się wtedy, gdy to, co jest oceniane, odzwierciedla tylko łatwe do sprawdzenia aspekty uczenia się.</w:t>
      </w:r>
      <w:r w:rsidR="006B5F56">
        <w:t xml:space="preserve"> Mogą one mieć silniejszy wydźwięk</w:t>
      </w:r>
      <w:r w:rsidRPr="00D20DF8">
        <w:t xml:space="preserve">, gdy </w:t>
      </w:r>
      <w:r w:rsidR="006B5F56">
        <w:t xml:space="preserve">chodzi o </w:t>
      </w:r>
      <w:r w:rsidRPr="00D20DF8">
        <w:t xml:space="preserve">wyniki </w:t>
      </w:r>
      <w:r w:rsidR="006B5F56">
        <w:t xml:space="preserve"> tzw. „</w:t>
      </w:r>
      <w:r w:rsidRPr="00D20DF8">
        <w:t>wysok</w:t>
      </w:r>
      <w:r w:rsidR="006B5F56">
        <w:t>iej</w:t>
      </w:r>
      <w:r w:rsidRPr="00D20DF8">
        <w:t xml:space="preserve"> stawk</w:t>
      </w:r>
      <w:r w:rsidR="006B5F56">
        <w:t>i</w:t>
      </w:r>
      <w:r w:rsidRPr="00D20DF8">
        <w:t xml:space="preserve">" (np. </w:t>
      </w:r>
      <w:r w:rsidR="00D964C6">
        <w:t xml:space="preserve">gdy </w:t>
      </w:r>
      <w:r w:rsidRPr="00D20DF8">
        <w:t xml:space="preserve">są </w:t>
      </w:r>
      <w:r w:rsidR="006B5F56">
        <w:t xml:space="preserve">one </w:t>
      </w:r>
      <w:r w:rsidRPr="00D20DF8">
        <w:t xml:space="preserve">wykorzystywane przy przyjmowaniu </w:t>
      </w:r>
      <w:r w:rsidR="0004518C">
        <w:t xml:space="preserve">uczniów </w:t>
      </w:r>
      <w:r w:rsidRPr="00D20DF8">
        <w:t xml:space="preserve">do szkoły, porównywaniu szkół i tworzeniu </w:t>
      </w:r>
      <w:r w:rsidR="0004518C">
        <w:t xml:space="preserve">ich </w:t>
      </w:r>
      <w:r w:rsidRPr="00D20DF8">
        <w:t>rankingów).</w:t>
      </w:r>
      <w:r w:rsidR="003C1DED" w:rsidRPr="00D20DF8">
        <w:t xml:space="preserve"> </w:t>
      </w:r>
      <w:r w:rsidR="006B5F56" w:rsidRPr="00AF1BF0">
        <w:t xml:space="preserve">W publikacji </w:t>
      </w:r>
      <w:r w:rsidR="00A10E15" w:rsidRPr="00AF1BF0">
        <w:t>European Commission/EACEA/Eurydice (2020)</w:t>
      </w:r>
      <w:r w:rsidR="006B5F56" w:rsidRPr="00AF1BF0">
        <w:t xml:space="preserve"> </w:t>
      </w:r>
      <w:r w:rsidR="006B5F56" w:rsidRPr="006B5F56">
        <w:t>stwierdzono, że wykorzystywanie edukacyjnych kryteriów rekrutacyjnych silnie</w:t>
      </w:r>
      <w:r w:rsidR="006B5F56">
        <w:t xml:space="preserve"> </w:t>
      </w:r>
      <w:r w:rsidR="006B5F56" w:rsidRPr="006B5F56">
        <w:t>koreluje z zarówno segregacj</w:t>
      </w:r>
      <w:r w:rsidR="006B5F56">
        <w:t>ą edukacyjną</w:t>
      </w:r>
      <w:r w:rsidR="00D964C6">
        <w:t>,</w:t>
      </w:r>
      <w:r w:rsidR="006B5F56">
        <w:t xml:space="preserve"> jak i wpływem pochodzenia społeczno-ekonomicznego na osiągnięcia uczniów. </w:t>
      </w:r>
    </w:p>
    <w:p w14:paraId="20E1B8DF" w14:textId="0EF309EC" w:rsidR="006B5F56" w:rsidRPr="006B5F56" w:rsidRDefault="006B5F56" w:rsidP="0088111C">
      <w:pPr>
        <w:pStyle w:val="Agency-body-text"/>
        <w:jc w:val="both"/>
      </w:pPr>
      <w:r w:rsidRPr="006B5F56">
        <w:t xml:space="preserve">Badania pokazują, że gdy istnieje duże uzależnienie od </w:t>
      </w:r>
      <w:r w:rsidR="0088111C">
        <w:t xml:space="preserve">wyników </w:t>
      </w:r>
      <w:r w:rsidRPr="006B5F56">
        <w:t xml:space="preserve">testów zewnętrznych i egzaminów, nauczyciele mogą </w:t>
      </w:r>
      <w:r w:rsidR="0088111C">
        <w:t>„</w:t>
      </w:r>
      <w:r w:rsidRPr="006B5F56">
        <w:t xml:space="preserve">uczyć </w:t>
      </w:r>
      <w:r w:rsidR="0088111C">
        <w:t xml:space="preserve">pod </w:t>
      </w:r>
      <w:r w:rsidRPr="006B5F56">
        <w:t>tes</w:t>
      </w:r>
      <w:r w:rsidR="0088111C">
        <w:t>t”</w:t>
      </w:r>
      <w:r w:rsidRPr="006B5F56">
        <w:t xml:space="preserve">, zawężając program nauczania i skupiając się na </w:t>
      </w:r>
      <w:r w:rsidR="0088111C">
        <w:t xml:space="preserve"> takim przygotowaniu </w:t>
      </w:r>
      <w:r w:rsidRPr="006B5F56">
        <w:t xml:space="preserve">uczniów, by zdali </w:t>
      </w:r>
      <w:r w:rsidR="0088111C">
        <w:t xml:space="preserve">oni </w:t>
      </w:r>
      <w:r w:rsidRPr="006B5F56">
        <w:t>egzaminy, stosując style nauczania, które nie rozwijają prawdziwego zrozumienia</w:t>
      </w:r>
      <w:r w:rsidR="0088111C">
        <w:t xml:space="preserve"> materiału</w:t>
      </w:r>
      <w:r w:rsidRPr="006B5F56">
        <w:t xml:space="preserve"> (Harlen, 2014). </w:t>
      </w:r>
    </w:p>
    <w:p w14:paraId="66AA7A35" w14:textId="470DDAF5" w:rsidR="006B5F56" w:rsidRPr="006B5F56" w:rsidRDefault="006B5F56" w:rsidP="0088111C">
      <w:pPr>
        <w:pStyle w:val="Agency-body-text"/>
        <w:jc w:val="both"/>
      </w:pPr>
      <w:r w:rsidRPr="006B5F56">
        <w:t xml:space="preserve">Oczywiste jest, że formalne oceny i egzaminy odgrywają ważną rolę w </w:t>
      </w:r>
      <w:r w:rsidR="009F0779">
        <w:t xml:space="preserve">potwierdzaniu efektów </w:t>
      </w:r>
      <w:r w:rsidR="0088111C">
        <w:t xml:space="preserve">procesu </w:t>
      </w:r>
      <w:r w:rsidRPr="006B5F56">
        <w:t xml:space="preserve">uczenia się jako </w:t>
      </w:r>
      <w:r w:rsidR="0088111C">
        <w:t>„</w:t>
      </w:r>
      <w:r w:rsidRPr="006B5F56">
        <w:t>bramy</w:t>
      </w:r>
      <w:r w:rsidR="0088111C">
        <w:t>”</w:t>
      </w:r>
      <w:r w:rsidRPr="006B5F56">
        <w:t xml:space="preserve"> do </w:t>
      </w:r>
      <w:r w:rsidR="00D964C6">
        <w:t xml:space="preserve">kształcenia na </w:t>
      </w:r>
      <w:r w:rsidRPr="006B5F56">
        <w:t xml:space="preserve">kolejnych </w:t>
      </w:r>
      <w:r w:rsidR="0088111C">
        <w:t>etap</w:t>
      </w:r>
      <w:r w:rsidR="00D964C6">
        <w:t>ach</w:t>
      </w:r>
      <w:r w:rsidRPr="006B5F56">
        <w:t xml:space="preserve"> (np. </w:t>
      </w:r>
      <w:r w:rsidR="0088111C">
        <w:t xml:space="preserve">dostęp </w:t>
      </w:r>
      <w:r w:rsidRPr="006B5F56">
        <w:t>do dalszej</w:t>
      </w:r>
      <w:r w:rsidR="0088111C">
        <w:t xml:space="preserve"> edukacji</w:t>
      </w:r>
      <w:r w:rsidRPr="006B5F56">
        <w:t>/</w:t>
      </w:r>
      <w:r w:rsidR="0088111C">
        <w:t xml:space="preserve"> wstęp na uczelnie </w:t>
      </w:r>
      <w:r w:rsidRPr="006B5F56">
        <w:t>wyższe). Podczas gdy t</w:t>
      </w:r>
      <w:r w:rsidR="0088111C">
        <w:t>ego typu</w:t>
      </w:r>
      <w:r w:rsidRPr="006B5F56">
        <w:t xml:space="preserve"> ocen</w:t>
      </w:r>
      <w:r w:rsidR="0088111C">
        <w:t>ianie</w:t>
      </w:r>
      <w:r w:rsidRPr="006B5F56">
        <w:t xml:space="preserve"> mo</w:t>
      </w:r>
      <w:r w:rsidR="0088111C">
        <w:t>że</w:t>
      </w:r>
      <w:r w:rsidRPr="006B5F56">
        <w:t xml:space="preserve"> być dostępne dla niektórych </w:t>
      </w:r>
      <w:r w:rsidR="0088111C">
        <w:t xml:space="preserve">osób </w:t>
      </w:r>
      <w:r w:rsidRPr="006B5F56">
        <w:t xml:space="preserve">uczących się (np. </w:t>
      </w:r>
      <w:r w:rsidR="0088111C">
        <w:t xml:space="preserve">arkusze przygotowane </w:t>
      </w:r>
      <w:r w:rsidRPr="006B5F56">
        <w:t xml:space="preserve">w alfabecie Braille'a dla </w:t>
      </w:r>
      <w:r w:rsidR="0088111C">
        <w:t xml:space="preserve">osób </w:t>
      </w:r>
      <w:r w:rsidRPr="006B5F56">
        <w:t xml:space="preserve">uczących się z </w:t>
      </w:r>
      <w:r w:rsidR="00D964C6">
        <w:t>dysfunkcją</w:t>
      </w:r>
      <w:r w:rsidR="00D964C6" w:rsidRPr="006B5F56">
        <w:t xml:space="preserve"> </w:t>
      </w:r>
      <w:r w:rsidRPr="006B5F56">
        <w:t xml:space="preserve">wzroku), </w:t>
      </w:r>
      <w:r w:rsidR="0088111C">
        <w:t xml:space="preserve">nadal </w:t>
      </w:r>
      <w:r w:rsidRPr="006B5F56">
        <w:t xml:space="preserve">będzie istniała niewielka liczba </w:t>
      </w:r>
      <w:r w:rsidR="0088111C">
        <w:t xml:space="preserve">osób </w:t>
      </w:r>
      <w:r w:rsidRPr="006B5F56">
        <w:t xml:space="preserve">uczących się, przede wszystkim tych z niepełnosprawnością intelektualną, dla których </w:t>
      </w:r>
      <w:r w:rsidR="0088111C">
        <w:t xml:space="preserve">ocena ich osiągnięć w formie </w:t>
      </w:r>
      <w:r w:rsidRPr="006B5F56">
        <w:t>egzamin</w:t>
      </w:r>
      <w:r w:rsidR="0088111C">
        <w:t>ów</w:t>
      </w:r>
      <w:r w:rsidRPr="006B5F56">
        <w:t xml:space="preserve"> nie będ</w:t>
      </w:r>
      <w:r w:rsidR="0088111C">
        <w:t>zie</w:t>
      </w:r>
      <w:r w:rsidRPr="006B5F56">
        <w:t xml:space="preserve"> odpowiedni</w:t>
      </w:r>
      <w:r w:rsidR="0088111C">
        <w:t>a</w:t>
      </w:r>
      <w:r w:rsidRPr="006B5F56">
        <w:t xml:space="preserve">. Powinny zatem istnieć </w:t>
      </w:r>
      <w:r w:rsidR="0088111C">
        <w:t xml:space="preserve">włączające </w:t>
      </w:r>
      <w:r w:rsidRPr="006B5F56">
        <w:t xml:space="preserve">ramy </w:t>
      </w:r>
      <w:r w:rsidR="009F0779">
        <w:t xml:space="preserve">potwierdzania efektów </w:t>
      </w:r>
      <w:r w:rsidR="0088111C">
        <w:t xml:space="preserve">procesu </w:t>
      </w:r>
      <w:r w:rsidRPr="006B5F56">
        <w:t xml:space="preserve">uczenia się i osiągnięć wszystkich </w:t>
      </w:r>
      <w:r w:rsidR="0088111C">
        <w:t xml:space="preserve">osób </w:t>
      </w:r>
      <w:r w:rsidRPr="006B5F56">
        <w:t xml:space="preserve">uczących się, w tym osób </w:t>
      </w:r>
      <w:r w:rsidR="0088111C">
        <w:t xml:space="preserve">posiadających bardziej </w:t>
      </w:r>
      <w:r w:rsidRPr="006B5F56">
        <w:t>złożon</w:t>
      </w:r>
      <w:r w:rsidR="0088111C">
        <w:t>e</w:t>
      </w:r>
      <w:r w:rsidRPr="006B5F56">
        <w:t xml:space="preserve"> potrzeb</w:t>
      </w:r>
      <w:r w:rsidR="0088111C">
        <w:t>y</w:t>
      </w:r>
      <w:r w:rsidRPr="006B5F56">
        <w:t xml:space="preserve"> </w:t>
      </w:r>
      <w:r w:rsidR="0088111C">
        <w:t xml:space="preserve">w zakresie </w:t>
      </w:r>
      <w:r w:rsidRPr="006B5F56">
        <w:t xml:space="preserve">wsparcia, </w:t>
      </w:r>
      <w:r w:rsidR="0088111C">
        <w:t xml:space="preserve">a </w:t>
      </w:r>
      <w:r w:rsidRPr="006B5F56">
        <w:t>w szczególności osób z niepełnosprawnością intelektualną.</w:t>
      </w:r>
    </w:p>
    <w:p w14:paraId="597B707D" w14:textId="79DDD01B" w:rsidR="00512EC1" w:rsidRPr="00936AEC" w:rsidRDefault="00936AEC" w:rsidP="005C3C0F">
      <w:pPr>
        <w:pStyle w:val="Agency-body-text"/>
        <w:jc w:val="both"/>
      </w:pPr>
      <w:r w:rsidRPr="00936AEC">
        <w:t xml:space="preserve">Choć ocena </w:t>
      </w:r>
      <w:r>
        <w:t xml:space="preserve">dokonywana przez </w:t>
      </w:r>
      <w:r w:rsidRPr="00936AEC">
        <w:t xml:space="preserve">nauczycieli oraz testy i egzaminy mają swoje </w:t>
      </w:r>
      <w:r w:rsidR="00447A9C">
        <w:t xml:space="preserve">stałe </w:t>
      </w:r>
      <w:r w:rsidRPr="00936AEC">
        <w:t xml:space="preserve">miejsce w całym systemie, uczestnicy </w:t>
      </w:r>
      <w:r>
        <w:t xml:space="preserve">przeprowadzonych </w:t>
      </w:r>
      <w:r w:rsidRPr="00936AEC">
        <w:t xml:space="preserve">konsultacji uznali, że należy </w:t>
      </w:r>
      <w:r w:rsidR="0004518C">
        <w:t xml:space="preserve">zmniejszyć nacisk </w:t>
      </w:r>
      <w:r w:rsidRPr="00936AEC">
        <w:t xml:space="preserve">na metody </w:t>
      </w:r>
      <w:r>
        <w:t>oceniania związane z formami oceny „</w:t>
      </w:r>
      <w:r w:rsidRPr="00936AEC">
        <w:t>wysoki</w:t>
      </w:r>
      <w:r>
        <w:t>ej</w:t>
      </w:r>
      <w:r w:rsidRPr="00936AEC">
        <w:t xml:space="preserve"> </w:t>
      </w:r>
      <w:r>
        <w:t>stawki</w:t>
      </w:r>
      <w:r w:rsidRPr="00936AEC">
        <w:t xml:space="preserve">", które mogą zachęcać nauczycieli do koncentrowania się na tym, co łatwo zmierzyć, zamiast </w:t>
      </w:r>
      <w:r>
        <w:t xml:space="preserve">przekazywania </w:t>
      </w:r>
      <w:r w:rsidRPr="00936AEC">
        <w:t xml:space="preserve">uczniom wysokiej jakości informacji zwrotnych, które pomogą im w dalszej nauce oraz </w:t>
      </w:r>
      <w:r>
        <w:t xml:space="preserve">będą </w:t>
      </w:r>
      <w:r w:rsidRPr="00936AEC">
        <w:t>wspierać działania prewencyjne i wczesne interwencje.</w:t>
      </w:r>
    </w:p>
    <w:p w14:paraId="725A8D9C" w14:textId="157BD433" w:rsidR="00447A9C" w:rsidRPr="00447A9C" w:rsidRDefault="00447A9C" w:rsidP="00447A9C">
      <w:pPr>
        <w:pStyle w:val="Agency-body-text"/>
        <w:jc w:val="both"/>
      </w:pPr>
      <w:r w:rsidRPr="00447A9C">
        <w:t xml:space="preserve">W </w:t>
      </w:r>
      <w:r w:rsidR="00D964C6">
        <w:t>przepisach prawa</w:t>
      </w:r>
      <w:r w:rsidR="00D964C6" w:rsidRPr="00447A9C">
        <w:t xml:space="preserve"> </w:t>
      </w:r>
      <w:r w:rsidRPr="00447A9C">
        <w:t>i polityce należy określić funkcje oceny, a zwłaszcza rozważyć związek między codzienną oceną dokonywaną przez nauczycieli (gdy</w:t>
      </w:r>
      <w:r>
        <w:t xml:space="preserve">ż to </w:t>
      </w:r>
      <w:r w:rsidRPr="00447A9C">
        <w:t xml:space="preserve">z </w:t>
      </w:r>
      <w:r>
        <w:t xml:space="preserve">jej rezultatów </w:t>
      </w:r>
      <w:r w:rsidRPr="00447A9C">
        <w:t xml:space="preserve">wynika, </w:t>
      </w:r>
      <w:r>
        <w:t xml:space="preserve">czy </w:t>
      </w:r>
      <w:r w:rsidRPr="00447A9C">
        <w:t>uczeń ma trudności</w:t>
      </w:r>
      <w:r>
        <w:t xml:space="preserve"> w nauce</w:t>
      </w:r>
      <w:r w:rsidRPr="00447A9C">
        <w:t xml:space="preserve">) a </w:t>
      </w:r>
      <w:r>
        <w:t xml:space="preserve">pogłębioną </w:t>
      </w:r>
      <w:r w:rsidRPr="00447A9C">
        <w:t>oceną dokonywaną przez szkolnych specjalistów i zewnętrzne zespoły</w:t>
      </w:r>
      <w:r>
        <w:t xml:space="preserve"> wielo</w:t>
      </w:r>
      <w:r w:rsidR="00D964C6">
        <w:t>specjalistyczne</w:t>
      </w:r>
      <w:r w:rsidRPr="00447A9C">
        <w:t xml:space="preserve">, która ma służyć wczesnej interwencji. Nauczyciele powinni </w:t>
      </w:r>
      <w:r>
        <w:t xml:space="preserve">uczestniczyć </w:t>
      </w:r>
      <w:r w:rsidRPr="00447A9C">
        <w:t>w specjalistycznych ocenach, by poszerzać swoje umiejętności i kompetencje w pracy z uczniami</w:t>
      </w:r>
      <w:r>
        <w:t xml:space="preserve"> posiadającymi różnorodne potrzeby</w:t>
      </w:r>
      <w:r w:rsidRPr="00447A9C">
        <w:t xml:space="preserve">, a także by obalić pogląd, że </w:t>
      </w:r>
      <w:r>
        <w:t>jedynie „</w:t>
      </w:r>
      <w:r w:rsidRPr="00447A9C">
        <w:t>eksperci</w:t>
      </w:r>
      <w:r>
        <w:t>”</w:t>
      </w:r>
      <w:r w:rsidRPr="00447A9C">
        <w:t xml:space="preserve"> są w stanie skutecznie </w:t>
      </w:r>
      <w:r>
        <w:t>na</w:t>
      </w:r>
      <w:r w:rsidRPr="00447A9C">
        <w:t>ucz</w:t>
      </w:r>
      <w:r>
        <w:t>ać</w:t>
      </w:r>
      <w:r w:rsidRPr="00447A9C">
        <w:t xml:space="preserve"> uczniów, którzy potrzebują dostosowanego podejścia lub dodatkowego wsparcia.</w:t>
      </w:r>
    </w:p>
    <w:p w14:paraId="16F79049" w14:textId="4A8856D5" w:rsidR="00447A9C" w:rsidRPr="00447A9C" w:rsidRDefault="00447A9C" w:rsidP="00447A9C">
      <w:pPr>
        <w:pStyle w:val="Agency-body-text"/>
        <w:jc w:val="both"/>
      </w:pPr>
      <w:r>
        <w:lastRenderedPageBreak/>
        <w:t>Model „</w:t>
      </w:r>
      <w:r w:rsidRPr="00447A9C">
        <w:t>Edukacj</w:t>
      </w:r>
      <w:r w:rsidR="001A1B81">
        <w:t>a</w:t>
      </w:r>
      <w:r w:rsidRPr="00447A9C">
        <w:t xml:space="preserve"> dla wszystkich</w:t>
      </w:r>
      <w:r>
        <w:t>”</w:t>
      </w:r>
      <w:r w:rsidRPr="00447A9C">
        <w:t xml:space="preserve"> będzie okazją do opracowania spójnych ram oceniania, które określą jasne zależności między różnymi funkcjami oce</w:t>
      </w:r>
      <w:r>
        <w:t>ny</w:t>
      </w:r>
      <w:r w:rsidRPr="00447A9C">
        <w:t xml:space="preserve"> i późniejszym wykorzystaniem informacji</w:t>
      </w:r>
      <w:r>
        <w:t xml:space="preserve"> z niej płynących</w:t>
      </w:r>
      <w:r w:rsidRPr="00447A9C">
        <w:t>. Choć główny nacisk zostanie położony na rozwój uczniów, nowe ustalenia powinny obejmować przegląd sposob</w:t>
      </w:r>
      <w:r>
        <w:t xml:space="preserve">ów wykorzystywania </w:t>
      </w:r>
      <w:r w:rsidRPr="00447A9C">
        <w:t>informacj</w:t>
      </w:r>
      <w:r>
        <w:t>i</w:t>
      </w:r>
      <w:r w:rsidRPr="00447A9C">
        <w:t xml:space="preserve"> do wydawania opinii o szkołach. Praca ta będzie wymagała ścisłej współpracy między szkołami/</w:t>
      </w:r>
      <w:r>
        <w:t xml:space="preserve"> </w:t>
      </w:r>
      <w:r w:rsidRPr="00447A9C">
        <w:t>innymi ośrodkami i agen</w:t>
      </w:r>
      <w:r w:rsidR="00D964C6">
        <w:t>dami</w:t>
      </w:r>
      <w:r w:rsidRPr="00447A9C">
        <w:t>, aby zapewnić, że wszys</w:t>
      </w:r>
      <w:r>
        <w:t xml:space="preserve">tkie osoby </w:t>
      </w:r>
      <w:r w:rsidRPr="00447A9C">
        <w:t>ucząc</w:t>
      </w:r>
      <w:r>
        <w:t>e</w:t>
      </w:r>
      <w:r w:rsidRPr="00447A9C">
        <w:t xml:space="preserve"> się otrzymają wsparcie, którego potrzebują, gdy tylko zostaną zidentyfikowane jakiekolwiek bariery w uczeniu się.</w:t>
      </w:r>
    </w:p>
    <w:p w14:paraId="0503DCDF" w14:textId="57D55A69" w:rsidR="00336F22" w:rsidRPr="002A77F3" w:rsidRDefault="004E3BEF" w:rsidP="00961A35">
      <w:pPr>
        <w:pStyle w:val="Agency-heading-2"/>
        <w:rPr>
          <w:color w:val="000000" w:themeColor="text1"/>
          <w:szCs w:val="20"/>
        </w:rPr>
      </w:pPr>
      <w:bookmarkStart w:id="17" w:name="_Toc71542598"/>
      <w:r w:rsidRPr="002A77F3">
        <w:t>Założenie</w:t>
      </w:r>
      <w:r w:rsidR="001F33B6" w:rsidRPr="002A77F3">
        <w:t xml:space="preserve"> 6</w:t>
      </w:r>
      <w:bookmarkEnd w:id="17"/>
      <w:r w:rsidR="00C4730C">
        <w:t>.</w:t>
      </w:r>
    </w:p>
    <w:p w14:paraId="0A574A65" w14:textId="09A027FF" w:rsidR="00336F22" w:rsidRPr="00447A9C" w:rsidRDefault="00447A9C" w:rsidP="00C4730C">
      <w:pPr>
        <w:pStyle w:val="Agency-body-text"/>
        <w:pBdr>
          <w:top w:val="single" w:sz="4" w:space="1" w:color="auto"/>
          <w:left w:val="single" w:sz="4" w:space="4" w:color="auto"/>
          <w:bottom w:val="single" w:sz="4" w:space="2" w:color="auto"/>
          <w:right w:val="single" w:sz="4" w:space="4" w:color="auto"/>
        </w:pBdr>
        <w:shd w:val="clear" w:color="auto" w:fill="D9D9D9" w:themeFill="background1" w:themeFillShade="D9"/>
        <w:jc w:val="both"/>
        <w:rPr>
          <w:b/>
          <w:bCs/>
        </w:rPr>
      </w:pPr>
      <w:r w:rsidRPr="00447A9C">
        <w:rPr>
          <w:b/>
          <w:bCs/>
        </w:rPr>
        <w:t xml:space="preserve">Szkoły będą współpracować i wykorzystywać elastyczność </w:t>
      </w:r>
      <w:r>
        <w:rPr>
          <w:b/>
          <w:bCs/>
        </w:rPr>
        <w:t xml:space="preserve">podejść </w:t>
      </w:r>
      <w:r w:rsidRPr="00447A9C">
        <w:rPr>
          <w:b/>
          <w:bCs/>
        </w:rPr>
        <w:t>dostępn</w:t>
      </w:r>
      <w:r>
        <w:rPr>
          <w:b/>
          <w:bCs/>
        </w:rPr>
        <w:t>ych</w:t>
      </w:r>
      <w:r w:rsidRPr="00447A9C">
        <w:rPr>
          <w:b/>
          <w:bCs/>
        </w:rPr>
        <w:t xml:space="preserve"> w programie nauczania, aby zapewnić </w:t>
      </w:r>
      <w:r w:rsidR="009F401B">
        <w:rPr>
          <w:b/>
          <w:bCs/>
        </w:rPr>
        <w:t>sperson</w:t>
      </w:r>
      <w:r w:rsidRPr="00447A9C">
        <w:rPr>
          <w:b/>
          <w:bCs/>
        </w:rPr>
        <w:t xml:space="preserve">alizowaną naukę i wsparcie. Uczniowie, rodzice, specjaliści z różnych dziedzin </w:t>
      </w:r>
      <w:r>
        <w:rPr>
          <w:b/>
          <w:bCs/>
        </w:rPr>
        <w:t>oraz</w:t>
      </w:r>
      <w:r w:rsidRPr="00447A9C">
        <w:rPr>
          <w:b/>
          <w:bCs/>
        </w:rPr>
        <w:t xml:space="preserve"> lokaln</w:t>
      </w:r>
      <w:r>
        <w:rPr>
          <w:b/>
          <w:bCs/>
        </w:rPr>
        <w:t xml:space="preserve">i usługodawcy </w:t>
      </w:r>
      <w:r w:rsidRPr="00447A9C">
        <w:rPr>
          <w:b/>
          <w:bCs/>
        </w:rPr>
        <w:t xml:space="preserve">będą współpracować z personelem szkoły w celu zaplanowania </w:t>
      </w:r>
      <w:r w:rsidR="002A77F3">
        <w:rPr>
          <w:b/>
          <w:bCs/>
        </w:rPr>
        <w:t xml:space="preserve">realizacji </w:t>
      </w:r>
      <w:r w:rsidRPr="00447A9C">
        <w:rPr>
          <w:b/>
          <w:bCs/>
        </w:rPr>
        <w:t xml:space="preserve">odpowiednich programów i </w:t>
      </w:r>
      <w:r w:rsidR="00C4730C">
        <w:rPr>
          <w:b/>
          <w:bCs/>
        </w:rPr>
        <w:t xml:space="preserve">udzielenia </w:t>
      </w:r>
      <w:r w:rsidRPr="00447A9C">
        <w:rPr>
          <w:b/>
          <w:bCs/>
        </w:rPr>
        <w:t xml:space="preserve">wsparcia potrzebnego do </w:t>
      </w:r>
      <w:r w:rsidR="00C4730C">
        <w:rPr>
          <w:b/>
          <w:bCs/>
        </w:rPr>
        <w:t xml:space="preserve">zapewnienia </w:t>
      </w:r>
      <w:r w:rsidRPr="00447A9C">
        <w:rPr>
          <w:b/>
          <w:bCs/>
        </w:rPr>
        <w:t>każdemu uczniowi</w:t>
      </w:r>
      <w:r>
        <w:rPr>
          <w:b/>
          <w:bCs/>
        </w:rPr>
        <w:t xml:space="preserve"> możliwości dokonywania postępów</w:t>
      </w:r>
      <w:r w:rsidRPr="00447A9C">
        <w:rPr>
          <w:b/>
          <w:bCs/>
        </w:rPr>
        <w:t>.</w:t>
      </w:r>
    </w:p>
    <w:p w14:paraId="5EB62971" w14:textId="4FF931A1" w:rsidR="003131FC" w:rsidRPr="00C94612" w:rsidRDefault="000538FF" w:rsidP="00C94612">
      <w:pPr>
        <w:pStyle w:val="Agency-body-text"/>
        <w:jc w:val="both"/>
        <w:rPr>
          <w:rStyle w:val="eop"/>
          <w:rFonts w:cs="Calibri"/>
          <w:b/>
          <w:bCs/>
          <w:color w:val="000000"/>
        </w:rPr>
      </w:pPr>
      <w:r>
        <w:rPr>
          <w:rStyle w:val="eop"/>
          <w:rFonts w:cs="Calibri"/>
          <w:b/>
          <w:bCs/>
          <w:color w:val="000000"/>
        </w:rPr>
        <w:t>Person</w:t>
      </w:r>
      <w:r w:rsidR="00C94612" w:rsidRPr="00C94612">
        <w:rPr>
          <w:rStyle w:val="eop"/>
          <w:rFonts w:cs="Calibri"/>
          <w:b/>
          <w:bCs/>
          <w:color w:val="000000"/>
        </w:rPr>
        <w:t xml:space="preserve">alizacja pozwala uczniom dzielić się swoimi mocnymi stronami, wyzwaniami, preferencjami i potrzebami oraz brać udział w planowaniu, w jaki sposób uzyskują dostęp do informacji i przetwarzają je, </w:t>
      </w:r>
      <w:r w:rsidR="00D964C6">
        <w:rPr>
          <w:rStyle w:val="eop"/>
          <w:rFonts w:cs="Calibri"/>
          <w:b/>
          <w:bCs/>
          <w:color w:val="000000"/>
        </w:rPr>
        <w:t>w jaki sposób przyswajają</w:t>
      </w:r>
      <w:r w:rsidR="00C94612">
        <w:rPr>
          <w:rStyle w:val="eop"/>
          <w:rFonts w:cs="Calibri"/>
          <w:b/>
          <w:bCs/>
          <w:color w:val="000000"/>
        </w:rPr>
        <w:t xml:space="preserve"> treści nauczania </w:t>
      </w:r>
      <w:r w:rsidR="00C94612" w:rsidRPr="00C94612">
        <w:rPr>
          <w:rStyle w:val="eop"/>
          <w:rFonts w:cs="Calibri"/>
          <w:b/>
          <w:bCs/>
          <w:color w:val="000000"/>
        </w:rPr>
        <w:t xml:space="preserve">i </w:t>
      </w:r>
      <w:r w:rsidR="00D964C6">
        <w:rPr>
          <w:rStyle w:val="eop"/>
          <w:rFonts w:cs="Calibri"/>
          <w:b/>
          <w:bCs/>
          <w:color w:val="000000"/>
        </w:rPr>
        <w:t xml:space="preserve">pojęcia </w:t>
      </w:r>
      <w:r w:rsidR="00C94612" w:rsidRPr="00C94612">
        <w:rPr>
          <w:rStyle w:val="eop"/>
          <w:rFonts w:cs="Calibri"/>
          <w:b/>
          <w:bCs/>
          <w:color w:val="000000"/>
        </w:rPr>
        <w:t xml:space="preserve">oraz wyrażają to, co wiedzą i rozumieją. Zamiast planować zajęcia dla większości klasy, a następnie różnicować je </w:t>
      </w:r>
      <w:r w:rsidR="009F401B">
        <w:rPr>
          <w:rStyle w:val="eop"/>
          <w:rFonts w:cs="Calibri"/>
          <w:b/>
          <w:bCs/>
          <w:color w:val="000000"/>
        </w:rPr>
        <w:t xml:space="preserve">w odniesieniu do </w:t>
      </w:r>
      <w:r w:rsidR="00C94612" w:rsidRPr="00C94612">
        <w:rPr>
          <w:rStyle w:val="eop"/>
          <w:rFonts w:cs="Calibri"/>
          <w:b/>
          <w:bCs/>
          <w:color w:val="000000"/>
        </w:rPr>
        <w:t>niektórych</w:t>
      </w:r>
      <w:r w:rsidR="00C94612">
        <w:rPr>
          <w:rStyle w:val="eop"/>
          <w:rFonts w:cs="Calibri"/>
          <w:b/>
          <w:bCs/>
          <w:color w:val="000000"/>
        </w:rPr>
        <w:t xml:space="preserve"> uczniów</w:t>
      </w:r>
      <w:r w:rsidR="00C94612" w:rsidRPr="00C94612">
        <w:rPr>
          <w:rStyle w:val="eop"/>
          <w:rFonts w:cs="Calibri"/>
          <w:b/>
          <w:bCs/>
          <w:color w:val="000000"/>
        </w:rPr>
        <w:t xml:space="preserve">, nauczyciele powinni dysponować szeregiem strategii, które mogą wykorzystać </w:t>
      </w:r>
      <w:r>
        <w:rPr>
          <w:rStyle w:val="eop"/>
          <w:rFonts w:cs="Calibri"/>
          <w:b/>
          <w:bCs/>
          <w:color w:val="000000"/>
        </w:rPr>
        <w:t>w taki sposób,</w:t>
      </w:r>
      <w:r w:rsidR="00C94612" w:rsidRPr="00C94612">
        <w:rPr>
          <w:rStyle w:val="eop"/>
          <w:rFonts w:cs="Calibri"/>
          <w:b/>
          <w:bCs/>
          <w:color w:val="000000"/>
        </w:rPr>
        <w:t xml:space="preserve"> by uczniowie nie musieli zmagać się z trudnościami lub ponosić poraż</w:t>
      </w:r>
      <w:r w:rsidR="00427B4E">
        <w:rPr>
          <w:rStyle w:val="eop"/>
          <w:rFonts w:cs="Calibri"/>
          <w:b/>
          <w:bCs/>
          <w:color w:val="000000"/>
        </w:rPr>
        <w:t>ek</w:t>
      </w:r>
      <w:r w:rsidR="00C94612" w:rsidRPr="00C94612">
        <w:rPr>
          <w:rStyle w:val="eop"/>
          <w:rFonts w:cs="Calibri"/>
          <w:b/>
          <w:bCs/>
          <w:color w:val="000000"/>
        </w:rPr>
        <w:t xml:space="preserve">, zanim uzyskają </w:t>
      </w:r>
      <w:r w:rsidR="00C94612">
        <w:rPr>
          <w:rStyle w:val="eop"/>
          <w:rFonts w:cs="Calibri"/>
          <w:b/>
          <w:bCs/>
          <w:color w:val="000000"/>
        </w:rPr>
        <w:t xml:space="preserve">odpowiednie </w:t>
      </w:r>
      <w:r w:rsidR="00C94612" w:rsidRPr="00C94612">
        <w:rPr>
          <w:rStyle w:val="eop"/>
          <w:rFonts w:cs="Calibri"/>
          <w:b/>
          <w:bCs/>
          <w:color w:val="000000"/>
        </w:rPr>
        <w:t>wsparcie.</w:t>
      </w:r>
    </w:p>
    <w:p w14:paraId="137EC1D3" w14:textId="1AA478D3" w:rsidR="00C94612" w:rsidRPr="00C94612" w:rsidRDefault="00C94612" w:rsidP="00C94612">
      <w:pPr>
        <w:pStyle w:val="Agency-body-text"/>
        <w:jc w:val="both"/>
      </w:pPr>
      <w:r w:rsidRPr="00C94612">
        <w:t>Szkoły muszą rozwijać</w:t>
      </w:r>
      <w:r>
        <w:t xml:space="preserve"> włączające podejścia pedagogiczne</w:t>
      </w:r>
      <w:r w:rsidRPr="00C94612">
        <w:t xml:space="preserve">, odchodząc od koncepcji reagowania na indywidualne trudności (postrzegane jako </w:t>
      </w:r>
      <w:r>
        <w:t xml:space="preserve">wewnętrzne trudności </w:t>
      </w:r>
      <w:r w:rsidRPr="00C94612">
        <w:t>uczni</w:t>
      </w:r>
      <w:r>
        <w:t>a</w:t>
      </w:r>
      <w:r w:rsidRPr="00C94612">
        <w:t xml:space="preserve">) i </w:t>
      </w:r>
      <w:r>
        <w:t xml:space="preserve">podejmowania prób </w:t>
      </w:r>
      <w:r w:rsidRPr="00C94612">
        <w:t>dopasow</w:t>
      </w:r>
      <w:r>
        <w:t>ywania</w:t>
      </w:r>
      <w:r w:rsidRPr="00C94612">
        <w:t xml:space="preserve"> uczniów do istniejącego systemu, </w:t>
      </w:r>
      <w:r>
        <w:t xml:space="preserve">na rzecz wprowadzania zmian w </w:t>
      </w:r>
      <w:r w:rsidRPr="00C94612">
        <w:t>struktur</w:t>
      </w:r>
      <w:r>
        <w:t xml:space="preserve">ach </w:t>
      </w:r>
      <w:r w:rsidRPr="00C94612">
        <w:t>i proces</w:t>
      </w:r>
      <w:r>
        <w:t>ach</w:t>
      </w:r>
      <w:r w:rsidRPr="00C94612">
        <w:t xml:space="preserve"> szkoln</w:t>
      </w:r>
      <w:r>
        <w:t>ych</w:t>
      </w:r>
      <w:r w:rsidRPr="00C94612">
        <w:t>.</w:t>
      </w:r>
    </w:p>
    <w:p w14:paraId="00DE65C4" w14:textId="171FEEB5" w:rsidR="00C94612" w:rsidRPr="00C94612" w:rsidRDefault="000538FF" w:rsidP="00C94612">
      <w:pPr>
        <w:pStyle w:val="Agency-body-text"/>
        <w:jc w:val="both"/>
      </w:pPr>
      <w:r>
        <w:t>Spersona</w:t>
      </w:r>
      <w:r w:rsidR="00C94612" w:rsidRPr="00C94612">
        <w:t xml:space="preserve">lizowane podejście rozszerza zakres dostępnych środków, by objąć wszystkich członków społeczności uczącej się, </w:t>
      </w:r>
      <w:r w:rsidR="00D964C6">
        <w:t>a także</w:t>
      </w:r>
      <w:r w:rsidR="00C94612" w:rsidRPr="00C94612">
        <w:t xml:space="preserve"> </w:t>
      </w:r>
      <w:r w:rsidR="00D964C6">
        <w:t>uwzględnia</w:t>
      </w:r>
      <w:r w:rsidR="00D964C6" w:rsidRPr="00C94612">
        <w:t xml:space="preserve"> </w:t>
      </w:r>
      <w:r w:rsidR="00C94612" w:rsidRPr="00C94612">
        <w:t xml:space="preserve">zasady uniwersalnego projektowania </w:t>
      </w:r>
      <w:r w:rsidR="00C94612">
        <w:t xml:space="preserve">procesu </w:t>
      </w:r>
      <w:r w:rsidR="00C94612" w:rsidRPr="00C94612">
        <w:t>uczenia się, by uwzględnić wszystkich uczniów, a także środowisko klasy/</w:t>
      </w:r>
      <w:r w:rsidR="00C94612">
        <w:t xml:space="preserve"> </w:t>
      </w:r>
      <w:r w:rsidR="00C94612" w:rsidRPr="00C94612">
        <w:t>szkoły. Sukces takich strategii nie tylko wspiera dostęp do pełnego zakresu możliwości uczenia się z rówieśnikami, ale także prawdopodobnie zmniejsz</w:t>
      </w:r>
      <w:r w:rsidR="00D964C6">
        <w:t>y</w:t>
      </w:r>
      <w:r w:rsidR="00C94612" w:rsidRPr="00C94612">
        <w:t xml:space="preserve"> potrzebę </w:t>
      </w:r>
      <w:r w:rsidR="00C94612">
        <w:t xml:space="preserve">udzielania </w:t>
      </w:r>
      <w:r w:rsidR="00C94612" w:rsidRPr="00C94612">
        <w:t xml:space="preserve">bardziej intensywnego wsparcia na późniejszym etapie. </w:t>
      </w:r>
    </w:p>
    <w:p w14:paraId="32A1139D" w14:textId="688632A3" w:rsidR="004F7F0E" w:rsidRPr="004F7F0E" w:rsidRDefault="004F7F0E" w:rsidP="000622A8">
      <w:pPr>
        <w:pStyle w:val="Agency-body-text"/>
        <w:jc w:val="both"/>
      </w:pPr>
      <w:r w:rsidRPr="004F7F0E">
        <w:t xml:space="preserve">Kiedy uczenie się jest </w:t>
      </w:r>
      <w:r>
        <w:t>spersona</w:t>
      </w:r>
      <w:r w:rsidRPr="004F7F0E">
        <w:t xml:space="preserve">lizowane, uczniowie w coraz większym stopniu biorą odpowiedzialność za własną naukę, uczestnicząc w jej projektowaniu i odpowiadając za powiązanie jej z własnymi zainteresowaniami (Bray i McClaskey, 2014). Różni się to od zindywidualizowanego uczenia się, które zazwyczaj jest prowadzone przez nauczyciela. Indywidualizacja jest często postrzegana jako sposób na </w:t>
      </w:r>
      <w:r w:rsidR="000622A8">
        <w:t>„</w:t>
      </w:r>
      <w:r w:rsidRPr="004F7F0E">
        <w:t>włącz</w:t>
      </w:r>
      <w:r w:rsidR="000622A8">
        <w:t>a</w:t>
      </w:r>
      <w:r w:rsidRPr="004F7F0E">
        <w:t>nie</w:t>
      </w:r>
      <w:r w:rsidR="000622A8">
        <w:t>”</w:t>
      </w:r>
      <w:r w:rsidRPr="004F7F0E">
        <w:t xml:space="preserve"> </w:t>
      </w:r>
      <w:r w:rsidR="000622A8" w:rsidRPr="004F7F0E">
        <w:t xml:space="preserve">do głównego nurtu nauczania </w:t>
      </w:r>
      <w:r w:rsidRPr="004F7F0E">
        <w:t xml:space="preserve">uczniów </w:t>
      </w:r>
      <w:r w:rsidR="000622A8">
        <w:t xml:space="preserve">posiadających potrzeby </w:t>
      </w:r>
      <w:r w:rsidR="000538FF">
        <w:t xml:space="preserve">w zakresie </w:t>
      </w:r>
      <w:r w:rsidR="000622A8">
        <w:t xml:space="preserve">dodatkowego </w:t>
      </w:r>
      <w:r w:rsidRPr="004F7F0E">
        <w:t xml:space="preserve">wsparcia. Zbyt często </w:t>
      </w:r>
      <w:r w:rsidR="000622A8">
        <w:t xml:space="preserve">wykorzystuje </w:t>
      </w:r>
      <w:r w:rsidRPr="004F7F0E">
        <w:t xml:space="preserve">się rodzaje zindywidualizowanych </w:t>
      </w:r>
      <w:r w:rsidR="000622A8">
        <w:t xml:space="preserve">działań stosowanych </w:t>
      </w:r>
      <w:r w:rsidRPr="004F7F0E">
        <w:t xml:space="preserve">w szkolnictwie specjalnym, a nie formy nauczania i organizacji, które mogą angażować wszystkich uczniów </w:t>
      </w:r>
      <w:r w:rsidR="0067722C">
        <w:t xml:space="preserve"> w działania realizowane w klasie</w:t>
      </w:r>
      <w:r w:rsidR="00D964C6">
        <w:t>.</w:t>
      </w:r>
    </w:p>
    <w:p w14:paraId="687A451A" w14:textId="1D7372D7" w:rsidR="004F7F0E" w:rsidRPr="004F7F0E" w:rsidRDefault="004F7F0E" w:rsidP="000622A8">
      <w:pPr>
        <w:pStyle w:val="Agency-body-text"/>
        <w:jc w:val="both"/>
      </w:pPr>
      <w:r w:rsidRPr="004F7F0E">
        <w:lastRenderedPageBreak/>
        <w:t xml:space="preserve">Wysiłki </w:t>
      </w:r>
      <w:r w:rsidR="000622A8">
        <w:t xml:space="preserve">podejmowane </w:t>
      </w:r>
      <w:r w:rsidRPr="004F7F0E">
        <w:t>na rzecz</w:t>
      </w:r>
      <w:r w:rsidR="000622A8">
        <w:t xml:space="preserve"> włączania osób uczących się</w:t>
      </w:r>
      <w:r w:rsidRPr="004F7F0E">
        <w:t xml:space="preserve">, które zależą od praktyk </w:t>
      </w:r>
      <w:r w:rsidR="000622A8">
        <w:t xml:space="preserve">przeniesionych </w:t>
      </w:r>
      <w:r w:rsidRPr="004F7F0E">
        <w:t xml:space="preserve">z edukacji specjalnej, sprzyjają </w:t>
      </w:r>
      <w:r w:rsidR="000622A8">
        <w:t xml:space="preserve">powstawaniu </w:t>
      </w:r>
      <w:r w:rsidRPr="004F7F0E">
        <w:t>nowy</w:t>
      </w:r>
      <w:r w:rsidR="000622A8">
        <w:t>ch</w:t>
      </w:r>
      <w:r w:rsidRPr="004F7F0E">
        <w:t xml:space="preserve"> i bardziej subtelny</w:t>
      </w:r>
      <w:r w:rsidR="000622A8">
        <w:t>ch</w:t>
      </w:r>
      <w:r w:rsidRPr="004F7F0E">
        <w:t xml:space="preserve"> form segregacji, nawet w </w:t>
      </w:r>
      <w:r w:rsidR="000622A8">
        <w:t xml:space="preserve">placówkach </w:t>
      </w:r>
      <w:r w:rsidRPr="004F7F0E">
        <w:t>ogólnodostępny</w:t>
      </w:r>
      <w:r w:rsidR="000622A8">
        <w:t>ch</w:t>
      </w:r>
      <w:r w:rsidRPr="004F7F0E">
        <w:t xml:space="preserve"> (Florian i in., 2016). Indywidualizacja może również wymagać dużych zasobów i prowadzić do wniosku, że edukacja włączająca nie jest możliwa bez znacznych dodatkowych funduszy. </w:t>
      </w:r>
    </w:p>
    <w:p w14:paraId="60DCAB4A" w14:textId="4DC8C7E8" w:rsidR="004F7F0E" w:rsidRPr="004F7F0E" w:rsidRDefault="004F7F0E" w:rsidP="000622A8">
      <w:pPr>
        <w:pStyle w:val="Agency-body-text"/>
        <w:jc w:val="both"/>
      </w:pPr>
      <w:r w:rsidRPr="004F7F0E">
        <w:t xml:space="preserve">Podczas ostatnich konsultacji interesariusze w Polsce </w:t>
      </w:r>
      <w:r w:rsidR="000622A8">
        <w:t xml:space="preserve">poparli </w:t>
      </w:r>
      <w:r w:rsidR="00FD4327">
        <w:t xml:space="preserve">koncepcję </w:t>
      </w:r>
      <w:r w:rsidRPr="004F7F0E">
        <w:t xml:space="preserve">odejścia od koncentrowania się na indywidualizacji </w:t>
      </w:r>
      <w:r w:rsidR="000622A8">
        <w:t xml:space="preserve">procesu </w:t>
      </w:r>
      <w:r w:rsidRPr="004F7F0E">
        <w:t xml:space="preserve">nauczania. W szczególności </w:t>
      </w:r>
      <w:r w:rsidR="000622A8">
        <w:t xml:space="preserve">wyrazili swoje </w:t>
      </w:r>
      <w:r w:rsidRPr="004F7F0E">
        <w:t>obaw</w:t>
      </w:r>
      <w:r w:rsidR="000622A8">
        <w:t>y</w:t>
      </w:r>
      <w:r w:rsidRPr="004F7F0E">
        <w:t xml:space="preserve">, że edukacja indywidualna nie powinna wykluczać uczniów ze szkoły i </w:t>
      </w:r>
      <w:r w:rsidR="000622A8">
        <w:t xml:space="preserve">skazywać ich na </w:t>
      </w:r>
      <w:r w:rsidRPr="004F7F0E">
        <w:t>izolacj</w:t>
      </w:r>
      <w:r w:rsidR="00FD4327">
        <w:t>ę</w:t>
      </w:r>
      <w:r w:rsidR="000622A8">
        <w:t xml:space="preserve"> i uczenie się </w:t>
      </w:r>
      <w:r w:rsidRPr="004F7F0E">
        <w:t>w domu.</w:t>
      </w:r>
    </w:p>
    <w:p w14:paraId="0647B1C2" w14:textId="16986B8C" w:rsidR="00336F22" w:rsidRPr="00FD4327" w:rsidRDefault="000622A8" w:rsidP="00FD4327">
      <w:pPr>
        <w:pStyle w:val="Agency-body-text"/>
        <w:jc w:val="both"/>
      </w:pPr>
      <w:r w:rsidRPr="000622A8">
        <w:t>Wyzwania związane z</w:t>
      </w:r>
      <w:r>
        <w:t xml:space="preserve"> personalizacją </w:t>
      </w:r>
      <w:r w:rsidRPr="000622A8">
        <w:t>kształceni</w:t>
      </w:r>
      <w:r>
        <w:t>a</w:t>
      </w:r>
      <w:r w:rsidRPr="000622A8">
        <w:t xml:space="preserve"> </w:t>
      </w:r>
      <w:r w:rsidR="00FD4327">
        <w:t xml:space="preserve">spotkały się z powszechną akceptacją </w:t>
      </w:r>
      <w:r w:rsidR="001B5E4C">
        <w:t>uczestników</w:t>
      </w:r>
      <w:r w:rsidRPr="000622A8">
        <w:t xml:space="preserve"> konsultacji</w:t>
      </w:r>
      <w:r>
        <w:t xml:space="preserve">. </w:t>
      </w:r>
      <w:r w:rsidRPr="00FD4327">
        <w:t xml:space="preserve">W szczególności należy zwrócić uwagę na następujące kwestie:  </w:t>
      </w:r>
    </w:p>
    <w:p w14:paraId="7BE78E9D" w14:textId="450255F3" w:rsidR="000622A8" w:rsidRPr="000622A8" w:rsidRDefault="000622A8" w:rsidP="00FD4327">
      <w:pPr>
        <w:pStyle w:val="Agency-body-text"/>
        <w:numPr>
          <w:ilvl w:val="0"/>
          <w:numId w:val="14"/>
        </w:numPr>
        <w:jc w:val="both"/>
      </w:pPr>
      <w:r w:rsidRPr="000622A8">
        <w:t xml:space="preserve">Wielu uczniów </w:t>
      </w:r>
      <w:r>
        <w:t xml:space="preserve">posiadających potrzeby dodatkowego </w:t>
      </w:r>
      <w:r w:rsidRPr="000622A8">
        <w:t xml:space="preserve">wsparcia nie odnalazłoby się w niektórych obecnych klasach, w których </w:t>
      </w:r>
      <w:r>
        <w:t xml:space="preserve">stosuje się </w:t>
      </w:r>
      <w:r w:rsidRPr="000622A8">
        <w:t>bardzo formalne/</w:t>
      </w:r>
      <w:r>
        <w:t xml:space="preserve"> </w:t>
      </w:r>
      <w:r w:rsidRPr="000622A8">
        <w:t>tradycyjne</w:t>
      </w:r>
      <w:r>
        <w:t xml:space="preserve">  podejścia</w:t>
      </w:r>
      <w:r w:rsidRPr="000622A8">
        <w:t xml:space="preserve">. Edukacja </w:t>
      </w:r>
      <w:r w:rsidR="0037573D">
        <w:t xml:space="preserve">włączająca </w:t>
      </w:r>
      <w:r w:rsidRPr="000622A8">
        <w:t xml:space="preserve">wymaga </w:t>
      </w:r>
      <w:r w:rsidR="00FD4327">
        <w:t xml:space="preserve">wprowadzenia </w:t>
      </w:r>
      <w:r w:rsidRPr="000622A8">
        <w:t xml:space="preserve">zmian w systemie, by dostosować go do potrzeb uczniów, a nie odwrotnie. Zwiększenie elastyczności </w:t>
      </w:r>
      <w:r w:rsidR="0037573D">
        <w:t xml:space="preserve">stosowanych podejść </w:t>
      </w:r>
      <w:r w:rsidRPr="000622A8">
        <w:t xml:space="preserve">przyniesie korzyści wszystkim </w:t>
      </w:r>
      <w:r w:rsidR="0037573D">
        <w:t xml:space="preserve">osobom </w:t>
      </w:r>
      <w:r w:rsidRPr="000622A8">
        <w:t>uczącym się, umożliwiając</w:t>
      </w:r>
      <w:r w:rsidR="0037573D">
        <w:t>,</w:t>
      </w:r>
      <w:r w:rsidRPr="000622A8">
        <w:t xml:space="preserve"> na przykład</w:t>
      </w:r>
      <w:r w:rsidR="0037573D">
        <w:t xml:space="preserve">, </w:t>
      </w:r>
      <w:r w:rsidRPr="000622A8">
        <w:t xml:space="preserve">poświęcenie większej uwagi bardziej </w:t>
      </w:r>
      <w:r w:rsidR="0037573D">
        <w:t>u</w:t>
      </w:r>
      <w:r w:rsidRPr="000622A8">
        <w:t>zdoln</w:t>
      </w:r>
      <w:r w:rsidR="0037573D">
        <w:t>ionym</w:t>
      </w:r>
      <w:r w:rsidRPr="000622A8">
        <w:t xml:space="preserve"> i utalentowanym uczniom oraz tym o bardziej złożonych potrzebach.</w:t>
      </w:r>
    </w:p>
    <w:p w14:paraId="7D5713DE" w14:textId="1DB750A1" w:rsidR="000622A8" w:rsidRPr="000622A8" w:rsidRDefault="000622A8" w:rsidP="0011357E">
      <w:pPr>
        <w:pStyle w:val="Agency-body-text"/>
        <w:numPr>
          <w:ilvl w:val="0"/>
          <w:numId w:val="14"/>
        </w:numPr>
        <w:jc w:val="both"/>
      </w:pPr>
      <w:r w:rsidRPr="000622A8">
        <w:t>Program nauczania, ocen</w:t>
      </w:r>
      <w:r w:rsidR="0037573D">
        <w:t>ianie</w:t>
      </w:r>
      <w:r w:rsidRPr="000622A8">
        <w:t xml:space="preserve"> i </w:t>
      </w:r>
      <w:r w:rsidR="0037573D">
        <w:t xml:space="preserve">podejścia </w:t>
      </w:r>
      <w:r w:rsidRPr="000622A8">
        <w:t>pedago</w:t>
      </w:r>
      <w:r w:rsidR="0037573D">
        <w:t>giczne</w:t>
      </w:r>
      <w:r w:rsidRPr="000622A8">
        <w:t xml:space="preserve"> są ze sobą ściśle powiązane. Elastyczne ramy programowe należy opracować z myślą o WSZYSTKICH uczniach, bez tworzenia odrębnych programów </w:t>
      </w:r>
      <w:r w:rsidR="0037573D">
        <w:t xml:space="preserve">nauczania </w:t>
      </w:r>
      <w:r w:rsidRPr="000622A8">
        <w:t xml:space="preserve">dla niektórych, które </w:t>
      </w:r>
      <w:r w:rsidR="0037573D">
        <w:t xml:space="preserve">to programy </w:t>
      </w:r>
      <w:r w:rsidRPr="000622A8">
        <w:t xml:space="preserve">mogą ograniczać </w:t>
      </w:r>
      <w:r w:rsidR="00427B4E">
        <w:t xml:space="preserve">ich </w:t>
      </w:r>
      <w:r w:rsidRPr="000622A8">
        <w:t xml:space="preserve">oczekiwania i możliwości. Alves (2020) konkluduje: </w:t>
      </w:r>
      <w:r w:rsidRPr="0037573D">
        <w:rPr>
          <w:i/>
          <w:iCs/>
        </w:rPr>
        <w:t>Jeśli szkoły są zachęcane</w:t>
      </w:r>
      <w:r w:rsidR="00FD4327">
        <w:rPr>
          <w:i/>
          <w:iCs/>
        </w:rPr>
        <w:t xml:space="preserve"> do tego, by</w:t>
      </w:r>
      <w:r w:rsidR="0037573D" w:rsidRPr="0037573D">
        <w:rPr>
          <w:i/>
          <w:iCs/>
        </w:rPr>
        <w:t xml:space="preserve"> stać się placówkami edukacji włączającej</w:t>
      </w:r>
      <w:r w:rsidRPr="0037573D">
        <w:rPr>
          <w:i/>
          <w:iCs/>
        </w:rPr>
        <w:t xml:space="preserve">, ale istnieje </w:t>
      </w:r>
      <w:r w:rsidR="002E2439">
        <w:rPr>
          <w:i/>
          <w:iCs/>
        </w:rPr>
        <w:t>obowiązkowy, ściśle określony</w:t>
      </w:r>
      <w:r w:rsidR="00CC23E7">
        <w:rPr>
          <w:i/>
          <w:iCs/>
        </w:rPr>
        <w:t>,</w:t>
      </w:r>
      <w:r w:rsidR="002E2439" w:rsidRPr="0037573D">
        <w:rPr>
          <w:i/>
          <w:iCs/>
        </w:rPr>
        <w:t xml:space="preserve"> </w:t>
      </w:r>
      <w:r w:rsidR="002E2439">
        <w:rPr>
          <w:i/>
          <w:iCs/>
        </w:rPr>
        <w:t xml:space="preserve">zakres </w:t>
      </w:r>
      <w:r w:rsidRPr="0037573D">
        <w:rPr>
          <w:i/>
          <w:iCs/>
        </w:rPr>
        <w:t>program</w:t>
      </w:r>
      <w:r w:rsidR="002E2439">
        <w:rPr>
          <w:i/>
          <w:iCs/>
        </w:rPr>
        <w:t>u</w:t>
      </w:r>
      <w:r w:rsidRPr="0037573D">
        <w:rPr>
          <w:i/>
          <w:iCs/>
        </w:rPr>
        <w:t xml:space="preserve"> nauczania, który nie pozwala nauczycielom na dostosowanie treści, podejść pedagogicznych lub ocen</w:t>
      </w:r>
      <w:r w:rsidR="002E2439">
        <w:rPr>
          <w:i/>
          <w:iCs/>
        </w:rPr>
        <w:t>iania</w:t>
      </w:r>
      <w:r w:rsidRPr="0037573D">
        <w:rPr>
          <w:i/>
          <w:iCs/>
        </w:rPr>
        <w:t xml:space="preserve"> do różnych cech i potrzeb uczniów, to wynikający z tego paradoks może uniemożliwić </w:t>
      </w:r>
      <w:r w:rsidR="00FD4327">
        <w:rPr>
          <w:i/>
          <w:iCs/>
        </w:rPr>
        <w:t xml:space="preserve">realizację </w:t>
      </w:r>
      <w:r w:rsidR="0037573D" w:rsidRPr="0037573D">
        <w:rPr>
          <w:i/>
          <w:iCs/>
        </w:rPr>
        <w:t>prawdziwe</w:t>
      </w:r>
      <w:r w:rsidR="00FD4327">
        <w:rPr>
          <w:i/>
          <w:iCs/>
        </w:rPr>
        <w:t>j</w:t>
      </w:r>
      <w:r w:rsidR="0037573D" w:rsidRPr="0037573D">
        <w:rPr>
          <w:i/>
          <w:iCs/>
        </w:rPr>
        <w:t xml:space="preserve"> </w:t>
      </w:r>
      <w:r w:rsidR="00FD4327">
        <w:rPr>
          <w:i/>
          <w:iCs/>
        </w:rPr>
        <w:t xml:space="preserve">praktyki </w:t>
      </w:r>
      <w:r w:rsidR="0037573D" w:rsidRPr="0037573D">
        <w:rPr>
          <w:i/>
          <w:iCs/>
        </w:rPr>
        <w:t>włącza</w:t>
      </w:r>
      <w:r w:rsidR="00FD4327">
        <w:rPr>
          <w:i/>
          <w:iCs/>
        </w:rPr>
        <w:t>jącej</w:t>
      </w:r>
      <w:r w:rsidR="0037573D">
        <w:t xml:space="preserve"> </w:t>
      </w:r>
      <w:r w:rsidRPr="000622A8">
        <w:t>(str. 282).</w:t>
      </w:r>
    </w:p>
    <w:p w14:paraId="2F08C6F6" w14:textId="16D5C192" w:rsidR="000622A8" w:rsidRPr="000622A8" w:rsidRDefault="000622A8" w:rsidP="0011357E">
      <w:pPr>
        <w:pStyle w:val="Agency-body-text"/>
        <w:numPr>
          <w:ilvl w:val="0"/>
          <w:numId w:val="14"/>
        </w:numPr>
        <w:jc w:val="both"/>
      </w:pPr>
      <w:r w:rsidRPr="000622A8">
        <w:t xml:space="preserve">Niedawna pandemia uwypukliła również potrzebę </w:t>
      </w:r>
      <w:r w:rsidR="0037573D">
        <w:t xml:space="preserve">stosowania </w:t>
      </w:r>
      <w:r w:rsidRPr="000622A8">
        <w:t xml:space="preserve">elastycznego podejścia, w szczególności </w:t>
      </w:r>
      <w:r w:rsidR="0037573D">
        <w:t xml:space="preserve">w zakresie mieszanych metod nauczania </w:t>
      </w:r>
      <w:r w:rsidRPr="000622A8">
        <w:t xml:space="preserve">i e-learningu, aby </w:t>
      </w:r>
      <w:r w:rsidR="0037573D">
        <w:t xml:space="preserve">móc radzić </w:t>
      </w:r>
      <w:r w:rsidRPr="000622A8">
        <w:t>sobie z uczniami o różnych potrzebach, którzy mogą pracować w różnym tempie.</w:t>
      </w:r>
    </w:p>
    <w:p w14:paraId="2E8E49BB" w14:textId="1F8E3057" w:rsidR="007E06BA" w:rsidRPr="0011357E" w:rsidRDefault="0011357E" w:rsidP="00FD4327">
      <w:pPr>
        <w:pStyle w:val="Agency-body-text"/>
        <w:jc w:val="both"/>
      </w:pPr>
      <w:r w:rsidRPr="0011357E">
        <w:t>Sz</w:t>
      </w:r>
      <w:r>
        <w:t>koły, rozważając to</w:t>
      </w:r>
      <w:r w:rsidRPr="0011357E">
        <w:t xml:space="preserve">, co mogą zapewnić uczniom, powinny </w:t>
      </w:r>
      <w:r>
        <w:t>„</w:t>
      </w:r>
      <w:r w:rsidRPr="0011357E">
        <w:t>zmapować</w:t>
      </w:r>
      <w:r>
        <w:t>”</w:t>
      </w:r>
      <w:r w:rsidRPr="0011357E">
        <w:t xml:space="preserve"> zakres dostępnych </w:t>
      </w:r>
      <w:r w:rsidR="002E2439">
        <w:t>możliwości w zakresie wsparcia</w:t>
      </w:r>
      <w:r w:rsidR="002E2439" w:rsidRPr="0011357E">
        <w:t xml:space="preserve"> </w:t>
      </w:r>
      <w:r w:rsidRPr="0011357E">
        <w:t xml:space="preserve">i </w:t>
      </w:r>
      <w:r>
        <w:t>za</w:t>
      </w:r>
      <w:r w:rsidR="002E2439">
        <w:t xml:space="preserve">oferować te </w:t>
      </w:r>
      <w:r>
        <w:t>formy</w:t>
      </w:r>
      <w:r w:rsidR="002E2439">
        <w:t>, które odpowiadają na potrzeby uczniów</w:t>
      </w:r>
      <w:r w:rsidRPr="0011357E">
        <w:t xml:space="preserve"> (np. dodatkowe zajęcia z czytania i </w:t>
      </w:r>
      <w:r w:rsidR="002E2439">
        <w:t xml:space="preserve">rozwijania </w:t>
      </w:r>
      <w:r w:rsidRPr="0011357E">
        <w:t xml:space="preserve">podstawowych umiejętności, programy specjalistyczne, terapie, </w:t>
      </w:r>
      <w:r>
        <w:t xml:space="preserve">pomoc </w:t>
      </w:r>
      <w:r w:rsidRPr="0011357E">
        <w:t>nauczycieli specjalistów, wsparcie</w:t>
      </w:r>
      <w:r>
        <w:t xml:space="preserve"> asystent</w:t>
      </w:r>
      <w:r w:rsidR="002E2439">
        <w:t>a</w:t>
      </w:r>
      <w:r w:rsidRPr="0011357E">
        <w:t xml:space="preserve">, elastyczność </w:t>
      </w:r>
      <w:r w:rsidR="002E2439">
        <w:t xml:space="preserve">w realizacji </w:t>
      </w:r>
      <w:r w:rsidRPr="0011357E">
        <w:t xml:space="preserve">programu nauczania, </w:t>
      </w:r>
      <w:r>
        <w:t xml:space="preserve">podejścia </w:t>
      </w:r>
      <w:r w:rsidRPr="0011357E">
        <w:t>pedagog</w:t>
      </w:r>
      <w:r>
        <w:t>iczne</w:t>
      </w:r>
      <w:r w:rsidRPr="0011357E">
        <w:t xml:space="preserve">, zaangażowanie rodziców i lokalne wsparcie ze strony </w:t>
      </w:r>
      <w:r w:rsidR="002E2439">
        <w:t>różnych</w:t>
      </w:r>
      <w:r w:rsidR="002E2439" w:rsidRPr="0011357E">
        <w:t xml:space="preserve"> </w:t>
      </w:r>
      <w:r w:rsidRPr="0011357E">
        <w:t>instytucji).</w:t>
      </w:r>
    </w:p>
    <w:p w14:paraId="0ECDECDF" w14:textId="44AEDC88" w:rsidR="00D949ED" w:rsidRPr="00D949ED" w:rsidRDefault="00D949ED" w:rsidP="00D949ED">
      <w:pPr>
        <w:pStyle w:val="Agency-body-text"/>
        <w:jc w:val="both"/>
      </w:pPr>
      <w:r w:rsidRPr="00D949ED">
        <w:t xml:space="preserve">Pozwoli to szkołom na monitorowanie i ocenę tego, co działa </w:t>
      </w:r>
      <w:r>
        <w:t>oraz</w:t>
      </w:r>
      <w:r w:rsidRPr="00D949ED">
        <w:t xml:space="preserve"> planowanie rozwoju, zapewniając, że wszyscy uczniowie, w tym ci </w:t>
      </w:r>
      <w:r>
        <w:t xml:space="preserve">pochodzący </w:t>
      </w:r>
      <w:r w:rsidRPr="00D949ED">
        <w:t xml:space="preserve">z grup defaworyzowanych, </w:t>
      </w:r>
      <w:r>
        <w:t xml:space="preserve">będą mieli dostęp do </w:t>
      </w:r>
      <w:r w:rsidRPr="00D949ED">
        <w:t>odpowiedni</w:t>
      </w:r>
      <w:r>
        <w:t>ch</w:t>
      </w:r>
      <w:r w:rsidRPr="00D949ED">
        <w:t xml:space="preserve"> program</w:t>
      </w:r>
      <w:r>
        <w:t>ów nauczania</w:t>
      </w:r>
      <w:r w:rsidRPr="00D949ED">
        <w:t xml:space="preserve"> </w:t>
      </w:r>
      <w:r>
        <w:t xml:space="preserve">oraz </w:t>
      </w:r>
      <w:r w:rsidRPr="00D949ED">
        <w:t>podejś</w:t>
      </w:r>
      <w:r>
        <w:t>ć w zakresie ich kształcenia</w:t>
      </w:r>
      <w:r w:rsidRPr="00D949ED">
        <w:t xml:space="preserve">. Skuteczna mapa może zapewnić wyraźne powiązanie między zapewnieniem </w:t>
      </w:r>
      <w:r>
        <w:t xml:space="preserve">kształcenia </w:t>
      </w:r>
      <w:r w:rsidRPr="00D949ED">
        <w:t>i postępami uczni</w:t>
      </w:r>
      <w:r w:rsidR="00FD4327">
        <w:t>ów</w:t>
      </w:r>
      <w:r w:rsidRPr="00D949ED">
        <w:t xml:space="preserve"> oraz może wskazać luki, w których potrzebny jest dalszy rozwój kadry i/</w:t>
      </w:r>
      <w:r>
        <w:t xml:space="preserve"> </w:t>
      </w:r>
      <w:r w:rsidRPr="00D949ED">
        <w:t xml:space="preserve">lub szkoły. Może też </w:t>
      </w:r>
      <w:r>
        <w:t xml:space="preserve">zaprezentować dokonane </w:t>
      </w:r>
      <w:r w:rsidRPr="00D949ED">
        <w:t>postępy (np.</w:t>
      </w:r>
      <w:r>
        <w:t xml:space="preserve"> w przypadku </w:t>
      </w:r>
      <w:r>
        <w:lastRenderedPageBreak/>
        <w:t>ograniczonego wsparcia</w:t>
      </w:r>
      <w:r w:rsidRPr="00D949ED">
        <w:t xml:space="preserve">) oraz </w:t>
      </w:r>
      <w:r>
        <w:t xml:space="preserve">umożliwić </w:t>
      </w:r>
      <w:r w:rsidR="002E2439">
        <w:t xml:space="preserve">ustalenie czy wsparcia zostało  zrealizowane </w:t>
      </w:r>
      <w:r>
        <w:t xml:space="preserve">i wskazać, </w:t>
      </w:r>
      <w:r w:rsidR="002E2439">
        <w:t xml:space="preserve">jaka jest efektywność finansowa </w:t>
      </w:r>
      <w:r>
        <w:t>podejmowan</w:t>
      </w:r>
      <w:r w:rsidR="002E2439">
        <w:t>ych</w:t>
      </w:r>
      <w:r>
        <w:t xml:space="preserve"> działa</w:t>
      </w:r>
      <w:r w:rsidR="002E2439">
        <w:t>ń.</w:t>
      </w:r>
    </w:p>
    <w:p w14:paraId="3445C87C" w14:textId="0E8A6E99" w:rsidR="00D949ED" w:rsidRPr="00D949ED" w:rsidRDefault="00D949ED" w:rsidP="00D949ED">
      <w:pPr>
        <w:pStyle w:val="Agency-body-text"/>
        <w:jc w:val="both"/>
      </w:pPr>
      <w:r w:rsidRPr="00D949ED">
        <w:t xml:space="preserve">Wdrażanie modelu MEiN </w:t>
      </w:r>
      <w:r>
        <w:t>„</w:t>
      </w:r>
      <w:r w:rsidRPr="00D949ED">
        <w:t>Edukacja dla wszystkich</w:t>
      </w:r>
      <w:r>
        <w:t>”</w:t>
      </w:r>
      <w:r w:rsidRPr="00D949ED">
        <w:t xml:space="preserve"> potencjalnie zapewni możliwość słuchania uczniów i opracowania bardziej elastyczne</w:t>
      </w:r>
      <w:r w:rsidR="002E2439">
        <w:t>j podstawy programowej</w:t>
      </w:r>
      <w:r w:rsidRPr="00D949ED">
        <w:t xml:space="preserve">, aby zaspokoić </w:t>
      </w:r>
      <w:r>
        <w:t xml:space="preserve">ich różnorodne </w:t>
      </w:r>
      <w:r w:rsidRPr="00D949ED">
        <w:t xml:space="preserve">potrzeby. To z kolei może </w:t>
      </w:r>
      <w:r>
        <w:t xml:space="preserve">przyczynić się do zapewniania </w:t>
      </w:r>
      <w:r w:rsidRPr="00D949ED">
        <w:t>ciągłoś</w:t>
      </w:r>
      <w:r>
        <w:t>ci</w:t>
      </w:r>
      <w:r w:rsidRPr="00D949ED">
        <w:t xml:space="preserve"> wsparcia</w:t>
      </w:r>
      <w:r>
        <w:t xml:space="preserve">, </w:t>
      </w:r>
      <w:r w:rsidR="00FD4327">
        <w:t xml:space="preserve">poprawy </w:t>
      </w:r>
      <w:r w:rsidRPr="00D949ED">
        <w:t>przepływ</w:t>
      </w:r>
      <w:r>
        <w:t>u</w:t>
      </w:r>
      <w:r w:rsidRPr="00D949ED">
        <w:t xml:space="preserve"> informacji i </w:t>
      </w:r>
      <w:r>
        <w:t xml:space="preserve">sprawić, że współpraca między </w:t>
      </w:r>
      <w:r w:rsidR="00FD4327">
        <w:t xml:space="preserve">poszczególnymi </w:t>
      </w:r>
      <w:r>
        <w:t>agen</w:t>
      </w:r>
      <w:r w:rsidR="006667E1">
        <w:t>dami</w:t>
      </w:r>
      <w:r>
        <w:t xml:space="preserve"> będzie skuteczniejsza</w:t>
      </w:r>
      <w:r w:rsidRPr="00D949ED">
        <w:t>.</w:t>
      </w:r>
    </w:p>
    <w:p w14:paraId="76F7D2B1" w14:textId="2D131251" w:rsidR="001F33B6" w:rsidRPr="006925D7" w:rsidRDefault="004E3BEF" w:rsidP="001F33B6">
      <w:pPr>
        <w:pStyle w:val="Agency-heading-2"/>
      </w:pPr>
      <w:bookmarkStart w:id="18" w:name="_Toc71542599"/>
      <w:r w:rsidRPr="006925D7">
        <w:t>Założenie</w:t>
      </w:r>
      <w:r w:rsidR="001F33B6" w:rsidRPr="006925D7">
        <w:t xml:space="preserve"> 7</w:t>
      </w:r>
      <w:bookmarkEnd w:id="18"/>
      <w:r w:rsidR="00FD4327">
        <w:t>.</w:t>
      </w:r>
    </w:p>
    <w:p w14:paraId="01F52C34" w14:textId="124B101B" w:rsidR="00EC6F04" w:rsidRPr="00563ACA" w:rsidRDefault="00563ACA" w:rsidP="00FD4327">
      <w:pPr>
        <w:pStyle w:val="Agency-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rPr>
      </w:pPr>
      <w:bookmarkStart w:id="19" w:name="_Toc30675289"/>
      <w:bookmarkStart w:id="20" w:name="_Toc34991078"/>
      <w:r w:rsidRPr="00563ACA">
        <w:rPr>
          <w:b/>
          <w:bCs/>
        </w:rPr>
        <w:t xml:space="preserve">Rola placówek specjalnych będzie rozwijana w celu wykorzystania doświadczenia i wiedzy </w:t>
      </w:r>
      <w:r>
        <w:rPr>
          <w:b/>
          <w:bCs/>
        </w:rPr>
        <w:t xml:space="preserve">ich </w:t>
      </w:r>
      <w:r w:rsidRPr="00563ACA">
        <w:rPr>
          <w:b/>
          <w:bCs/>
        </w:rPr>
        <w:t xml:space="preserve">pracowników do wspierania uczniów </w:t>
      </w:r>
      <w:r w:rsidR="006667E1">
        <w:rPr>
          <w:b/>
          <w:bCs/>
        </w:rPr>
        <w:t xml:space="preserve">z </w:t>
      </w:r>
      <w:r w:rsidR="005C0DFE" w:rsidRPr="00563ACA">
        <w:rPr>
          <w:b/>
          <w:bCs/>
        </w:rPr>
        <w:t>niepełnosprawn</w:t>
      </w:r>
      <w:r w:rsidR="005C0DFE">
        <w:rPr>
          <w:b/>
          <w:bCs/>
        </w:rPr>
        <w:t>ościami</w:t>
      </w:r>
      <w:r w:rsidRPr="00563ACA">
        <w:rPr>
          <w:b/>
          <w:bCs/>
        </w:rPr>
        <w:t xml:space="preserve"> i </w:t>
      </w:r>
      <w:r>
        <w:rPr>
          <w:b/>
          <w:bCs/>
        </w:rPr>
        <w:t xml:space="preserve">posiadających </w:t>
      </w:r>
      <w:r w:rsidRPr="00563ACA">
        <w:rPr>
          <w:b/>
          <w:bCs/>
        </w:rPr>
        <w:t>bardziej złożon</w:t>
      </w:r>
      <w:r>
        <w:rPr>
          <w:b/>
          <w:bCs/>
        </w:rPr>
        <w:t>e</w:t>
      </w:r>
      <w:r w:rsidRPr="00563ACA">
        <w:rPr>
          <w:b/>
          <w:bCs/>
        </w:rPr>
        <w:t xml:space="preserve"> potrzeb</w:t>
      </w:r>
      <w:r w:rsidR="006667E1">
        <w:rPr>
          <w:b/>
          <w:bCs/>
        </w:rPr>
        <w:t>y</w:t>
      </w:r>
      <w:r w:rsidRPr="00563ACA">
        <w:rPr>
          <w:b/>
          <w:bCs/>
        </w:rPr>
        <w:t xml:space="preserve"> w sposób, który zwiększy możliwości szkół ogólnodostępnych w zakresie włączania wszystkich</w:t>
      </w:r>
      <w:r w:rsidR="00E96926">
        <w:rPr>
          <w:b/>
          <w:bCs/>
        </w:rPr>
        <w:t xml:space="preserve"> osób uczących się</w:t>
      </w:r>
      <w:r w:rsidRPr="00563ACA">
        <w:rPr>
          <w:b/>
          <w:bCs/>
        </w:rPr>
        <w:t>.</w:t>
      </w:r>
    </w:p>
    <w:p w14:paraId="2FF7EB08" w14:textId="160823BF" w:rsidR="00C13A14" w:rsidRPr="00C13A14" w:rsidRDefault="00FD4327" w:rsidP="00C13A14">
      <w:pPr>
        <w:jc w:val="both"/>
        <w:rPr>
          <w:rFonts w:asciiTheme="majorHAnsi" w:hAnsiTheme="majorHAnsi" w:cstheme="majorHAnsi"/>
          <w:b/>
          <w:bCs/>
          <w:color w:val="000000" w:themeColor="text1"/>
          <w:szCs w:val="20"/>
          <w:lang w:eastAsia="en-US"/>
        </w:rPr>
      </w:pPr>
      <w:r w:rsidRPr="00C13A14">
        <w:rPr>
          <w:rFonts w:asciiTheme="majorHAnsi" w:hAnsiTheme="majorHAnsi" w:cstheme="majorHAnsi"/>
          <w:b/>
          <w:bCs/>
        </w:rPr>
        <w:t>Szkoły</w:t>
      </w:r>
      <w:r w:rsidR="00C13A14" w:rsidRPr="00C13A14">
        <w:rPr>
          <w:rFonts w:asciiTheme="majorHAnsi" w:hAnsiTheme="majorHAnsi" w:cstheme="majorHAnsi"/>
          <w:b/>
          <w:bCs/>
        </w:rPr>
        <w:t xml:space="preserve"> i placówki specjalne </w:t>
      </w:r>
      <w:r w:rsidR="00C13A14" w:rsidRPr="00C13A14">
        <w:rPr>
          <w:rFonts w:asciiTheme="majorHAnsi" w:hAnsiTheme="majorHAnsi" w:cstheme="majorHAnsi"/>
          <w:b/>
          <w:bCs/>
          <w:color w:val="000000" w:themeColor="text1"/>
          <w:szCs w:val="20"/>
          <w:lang w:eastAsia="en-US"/>
        </w:rPr>
        <w:t xml:space="preserve">będą odgrywały kluczową rolę we wspieraniu przechodzenia na model oparty na prawach oraz włączaniu wszystkich uczniów w społeczność ich lokalnych szkół. Będzie to zależało od opracowania struktur i procesów, które umożliwią skuteczną koordynację </w:t>
      </w:r>
      <w:r w:rsidR="00C13A14">
        <w:rPr>
          <w:rFonts w:asciiTheme="majorHAnsi" w:hAnsiTheme="majorHAnsi" w:cstheme="majorHAnsi"/>
          <w:b/>
          <w:bCs/>
          <w:color w:val="000000" w:themeColor="text1"/>
          <w:szCs w:val="20"/>
          <w:lang w:eastAsia="en-US"/>
        </w:rPr>
        <w:t xml:space="preserve">działań </w:t>
      </w:r>
      <w:r w:rsidR="00C13A14" w:rsidRPr="00C13A14">
        <w:rPr>
          <w:rFonts w:asciiTheme="majorHAnsi" w:hAnsiTheme="majorHAnsi" w:cstheme="majorHAnsi"/>
          <w:b/>
          <w:bCs/>
          <w:color w:val="000000" w:themeColor="text1"/>
          <w:szCs w:val="20"/>
          <w:lang w:eastAsia="en-US"/>
        </w:rPr>
        <w:t xml:space="preserve">między ośrodkami i instytucjami w całym systemie, w tym także zaangażowanie rodziców i zainteresowanych stron. Pracownikom placówek specjalnych należy zaoferować możliwości rozwoju zawodowego, aby przygotować ich do nowej roli, a także by zapewnić zatrzymanie w systemie </w:t>
      </w:r>
      <w:r w:rsidR="00631FFE">
        <w:rPr>
          <w:rFonts w:asciiTheme="majorHAnsi" w:hAnsiTheme="majorHAnsi" w:cstheme="majorHAnsi"/>
          <w:b/>
          <w:bCs/>
          <w:color w:val="000000" w:themeColor="text1"/>
          <w:szCs w:val="20"/>
          <w:lang w:eastAsia="en-US"/>
        </w:rPr>
        <w:t>posiadanych przez n</w:t>
      </w:r>
      <w:r w:rsidR="00C13A14">
        <w:rPr>
          <w:rFonts w:asciiTheme="majorHAnsi" w:hAnsiTheme="majorHAnsi" w:cstheme="majorHAnsi"/>
          <w:b/>
          <w:bCs/>
          <w:color w:val="000000" w:themeColor="text1"/>
          <w:szCs w:val="20"/>
          <w:lang w:eastAsia="en-US"/>
        </w:rPr>
        <w:t xml:space="preserve">ich </w:t>
      </w:r>
      <w:r w:rsidR="00C13A14" w:rsidRPr="00C13A14">
        <w:rPr>
          <w:rFonts w:asciiTheme="majorHAnsi" w:hAnsiTheme="majorHAnsi" w:cstheme="majorHAnsi"/>
          <w:b/>
          <w:bCs/>
          <w:color w:val="000000" w:themeColor="text1"/>
          <w:szCs w:val="20"/>
          <w:lang w:eastAsia="en-US"/>
        </w:rPr>
        <w:t>kompetencji (np. w przypadku niepełnosprawności o wąskim zakresie występowania, takich jak dysfunkcje wzrokowe, słuchowe i intelektualn</w:t>
      </w:r>
      <w:r w:rsidR="000C58F4">
        <w:rPr>
          <w:rFonts w:asciiTheme="majorHAnsi" w:hAnsiTheme="majorHAnsi" w:cstheme="majorHAnsi"/>
          <w:b/>
          <w:bCs/>
          <w:color w:val="000000" w:themeColor="text1"/>
          <w:szCs w:val="20"/>
          <w:lang w:eastAsia="en-US"/>
        </w:rPr>
        <w:t>e</w:t>
      </w:r>
      <w:r w:rsidR="00C13A14" w:rsidRPr="00C13A14">
        <w:rPr>
          <w:rFonts w:asciiTheme="majorHAnsi" w:hAnsiTheme="majorHAnsi" w:cstheme="majorHAnsi"/>
          <w:b/>
          <w:bCs/>
          <w:color w:val="000000" w:themeColor="text1"/>
          <w:szCs w:val="20"/>
          <w:lang w:eastAsia="en-US"/>
        </w:rPr>
        <w:t>).</w:t>
      </w:r>
    </w:p>
    <w:p w14:paraId="3ECDB3BE" w14:textId="4E53B10E" w:rsidR="00C13A14" w:rsidRPr="00C13A14" w:rsidRDefault="00C13A14" w:rsidP="000C58F4">
      <w:pPr>
        <w:pStyle w:val="Agency-body-text"/>
        <w:jc w:val="both"/>
        <w:rPr>
          <w:rFonts w:cs="Calibri"/>
        </w:rPr>
      </w:pPr>
      <w:r w:rsidRPr="00C13A14">
        <w:rPr>
          <w:rFonts w:cs="Calibri"/>
        </w:rPr>
        <w:t>Niedawn</w:t>
      </w:r>
      <w:r w:rsidR="000C58F4">
        <w:rPr>
          <w:rFonts w:cs="Calibri"/>
        </w:rPr>
        <w:t>o zakończone</w:t>
      </w:r>
      <w:r w:rsidRPr="00C13A14">
        <w:rPr>
          <w:rFonts w:cs="Calibri"/>
        </w:rPr>
        <w:t xml:space="preserve"> konsultacje wykazały szerokie poparcie dla zmiany roli szkół specjalnych, ale należy wyraźnie zaznaczyć, że jest to długoterminowy program prac. Szkoły specjalne nie zostaną wprawdzie zamknięte, ale</w:t>
      </w:r>
      <w:r>
        <w:rPr>
          <w:rFonts w:cs="Calibri"/>
        </w:rPr>
        <w:t xml:space="preserve"> ich działalność</w:t>
      </w:r>
      <w:r w:rsidRPr="00C13A14">
        <w:rPr>
          <w:rFonts w:cs="Calibri"/>
        </w:rPr>
        <w:t xml:space="preserve"> </w:t>
      </w:r>
      <w:r>
        <w:rPr>
          <w:rFonts w:cs="Calibri"/>
        </w:rPr>
        <w:t xml:space="preserve">będzie </w:t>
      </w:r>
      <w:r w:rsidRPr="00C13A14">
        <w:rPr>
          <w:rFonts w:cs="Calibri"/>
        </w:rPr>
        <w:t>rozwijan</w:t>
      </w:r>
      <w:r>
        <w:rPr>
          <w:rFonts w:cs="Calibri"/>
        </w:rPr>
        <w:t>a</w:t>
      </w:r>
      <w:r w:rsidRPr="00C13A14">
        <w:rPr>
          <w:rFonts w:cs="Calibri"/>
        </w:rPr>
        <w:t xml:space="preserve"> w celu bardziej efektywnego wykorzystania specjalistycznej wiedzy</w:t>
      </w:r>
      <w:r w:rsidR="000C58F4">
        <w:rPr>
          <w:rFonts w:cs="Calibri"/>
        </w:rPr>
        <w:t>,</w:t>
      </w:r>
      <w:r w:rsidRPr="00C13A14">
        <w:rPr>
          <w:rFonts w:cs="Calibri"/>
        </w:rPr>
        <w:t xml:space="preserve"> </w:t>
      </w:r>
      <w:r>
        <w:rPr>
          <w:rFonts w:cs="Calibri"/>
        </w:rPr>
        <w:t>aby podnieść poziom</w:t>
      </w:r>
      <w:r w:rsidRPr="00C13A14">
        <w:rPr>
          <w:rFonts w:cs="Calibri"/>
        </w:rPr>
        <w:t xml:space="preserve"> umiejętności i kompetencji nauczycieli pracujących w szkołach ogólnodostępnych.</w:t>
      </w:r>
    </w:p>
    <w:p w14:paraId="44367A73" w14:textId="536D7B93" w:rsidR="00C13A14" w:rsidRPr="00C13A14" w:rsidRDefault="00C13A14" w:rsidP="000C58F4">
      <w:pPr>
        <w:pStyle w:val="Agency-body-text"/>
        <w:jc w:val="both"/>
        <w:rPr>
          <w:rFonts w:cs="Calibri"/>
        </w:rPr>
      </w:pPr>
      <w:r w:rsidRPr="00C13A14">
        <w:rPr>
          <w:rFonts w:cs="Calibri"/>
        </w:rPr>
        <w:t xml:space="preserve">Podczas konsultacji pojawiły się obawy, że nowe </w:t>
      </w:r>
      <w:r w:rsidR="006667E1">
        <w:rPr>
          <w:rFonts w:cs="Calibri"/>
        </w:rPr>
        <w:t>centra specjalistyczne</w:t>
      </w:r>
      <w:r w:rsidRPr="00C13A14">
        <w:rPr>
          <w:rFonts w:cs="Calibri"/>
        </w:rPr>
        <w:t xml:space="preserve"> </w:t>
      </w:r>
      <w:r w:rsidR="000C58F4">
        <w:rPr>
          <w:rFonts w:cs="Calibri"/>
        </w:rPr>
        <w:t xml:space="preserve">nie </w:t>
      </w:r>
      <w:r w:rsidRPr="00C13A14">
        <w:rPr>
          <w:rFonts w:cs="Calibri"/>
        </w:rPr>
        <w:t xml:space="preserve">będą zbyt </w:t>
      </w:r>
      <w:r w:rsidR="000C58F4">
        <w:rPr>
          <w:rFonts w:cs="Calibri"/>
        </w:rPr>
        <w:t>l</w:t>
      </w:r>
      <w:r w:rsidRPr="00C13A14">
        <w:rPr>
          <w:rFonts w:cs="Calibri"/>
        </w:rPr>
        <w:t xml:space="preserve">iczne i </w:t>
      </w:r>
      <w:r w:rsidR="000C58F4">
        <w:rPr>
          <w:rFonts w:cs="Calibri"/>
        </w:rPr>
        <w:t xml:space="preserve">będą </w:t>
      </w:r>
      <w:r w:rsidRPr="00C13A14">
        <w:rPr>
          <w:rFonts w:cs="Calibri"/>
        </w:rPr>
        <w:t xml:space="preserve">zbyt oddalone od niektórych szkół, aby mogły odgrywać skuteczną rolę. Podkreśla to potrzebę uwzględnienia wsparcia ze strony takich </w:t>
      </w:r>
      <w:r>
        <w:rPr>
          <w:rFonts w:cs="Calibri"/>
        </w:rPr>
        <w:t xml:space="preserve">placówek </w:t>
      </w:r>
      <w:r w:rsidRPr="00C13A14">
        <w:rPr>
          <w:rFonts w:cs="Calibri"/>
        </w:rPr>
        <w:t>w ogóln</w:t>
      </w:r>
      <w:r>
        <w:rPr>
          <w:rFonts w:cs="Calibri"/>
        </w:rPr>
        <w:t>ej</w:t>
      </w:r>
      <w:r w:rsidRPr="00C13A14">
        <w:rPr>
          <w:rFonts w:cs="Calibri"/>
        </w:rPr>
        <w:t xml:space="preserve"> lokaln</w:t>
      </w:r>
      <w:r>
        <w:rPr>
          <w:rFonts w:cs="Calibri"/>
        </w:rPr>
        <w:t>ej</w:t>
      </w:r>
      <w:r w:rsidRPr="00C13A14">
        <w:rPr>
          <w:rFonts w:cs="Calibri"/>
        </w:rPr>
        <w:t>/</w:t>
      </w:r>
      <w:r>
        <w:rPr>
          <w:rFonts w:cs="Calibri"/>
        </w:rPr>
        <w:t xml:space="preserve"> </w:t>
      </w:r>
      <w:r w:rsidRPr="00C13A14">
        <w:rPr>
          <w:rFonts w:cs="Calibri"/>
        </w:rPr>
        <w:t>regionaln</w:t>
      </w:r>
      <w:r>
        <w:rPr>
          <w:rFonts w:cs="Calibri"/>
        </w:rPr>
        <w:t>ej ofercie</w:t>
      </w:r>
      <w:r w:rsidRPr="00C13A14">
        <w:rPr>
          <w:rFonts w:cs="Calibri"/>
        </w:rPr>
        <w:t xml:space="preserve">, która obejmuje także specjalistyczny personel </w:t>
      </w:r>
      <w:r w:rsidR="008E09DF">
        <w:rPr>
          <w:rFonts w:cs="Calibri"/>
        </w:rPr>
        <w:t xml:space="preserve">pracujący </w:t>
      </w:r>
      <w:r w:rsidRPr="00C13A14">
        <w:rPr>
          <w:rFonts w:cs="Calibri"/>
        </w:rPr>
        <w:t>w szkołach ogólnodostępnych oraz wsparcie z</w:t>
      </w:r>
      <w:r w:rsidR="008E09DF">
        <w:rPr>
          <w:rFonts w:cs="Calibri"/>
        </w:rPr>
        <w:t>e strony</w:t>
      </w:r>
      <w:r w:rsidRPr="00C13A14">
        <w:rPr>
          <w:rFonts w:cs="Calibri"/>
        </w:rPr>
        <w:t xml:space="preserve"> innych lokalnych zasobów (np. organizacji pozarządowych, nowych międzysektorowych ośrodków wsparcia).</w:t>
      </w:r>
    </w:p>
    <w:p w14:paraId="2EE0A13B" w14:textId="35A5979F" w:rsidR="006925D7" w:rsidRPr="006925D7" w:rsidRDefault="006925D7" w:rsidP="006925D7">
      <w:pPr>
        <w:pStyle w:val="Agency-body-text"/>
        <w:jc w:val="both"/>
        <w:rPr>
          <w:rFonts w:cs="Calibri"/>
        </w:rPr>
      </w:pPr>
      <w:r w:rsidRPr="006925D7">
        <w:rPr>
          <w:rFonts w:cs="Calibri"/>
        </w:rPr>
        <w:t>Uc</w:t>
      </w:r>
      <w:r>
        <w:rPr>
          <w:rFonts w:cs="Calibri"/>
        </w:rPr>
        <w:t>zestnicy spotkań konsultacyjnych podkreślili</w:t>
      </w:r>
      <w:r w:rsidRPr="006925D7">
        <w:rPr>
          <w:rFonts w:cs="Calibri"/>
        </w:rPr>
        <w:t xml:space="preserve">, że poradnie pedagogiczno-psychologiczne powinny w dalszym ciągu wspierać szkoły i osoby uczące się oraz </w:t>
      </w:r>
      <w:r>
        <w:rPr>
          <w:rFonts w:cs="Calibri"/>
        </w:rPr>
        <w:t xml:space="preserve">pełnić rolę łącznika z </w:t>
      </w:r>
      <w:r w:rsidRPr="006925D7">
        <w:rPr>
          <w:rFonts w:cs="Calibri"/>
        </w:rPr>
        <w:t>pomoc</w:t>
      </w:r>
      <w:r w:rsidR="000C58F4">
        <w:rPr>
          <w:rFonts w:cs="Calibri"/>
        </w:rPr>
        <w:t>ą</w:t>
      </w:r>
      <w:r w:rsidRPr="006925D7">
        <w:rPr>
          <w:rFonts w:cs="Calibri"/>
        </w:rPr>
        <w:t xml:space="preserve"> psychologiczn</w:t>
      </w:r>
      <w:r w:rsidR="000C58F4">
        <w:rPr>
          <w:rFonts w:cs="Calibri"/>
        </w:rPr>
        <w:t>ą</w:t>
      </w:r>
      <w:r w:rsidRPr="006925D7">
        <w:rPr>
          <w:rFonts w:cs="Calibri"/>
        </w:rPr>
        <w:t xml:space="preserve"> świadczoną przez </w:t>
      </w:r>
      <w:r>
        <w:rPr>
          <w:rFonts w:cs="Calibri"/>
        </w:rPr>
        <w:t xml:space="preserve">sektory </w:t>
      </w:r>
      <w:r w:rsidRPr="006925D7">
        <w:rPr>
          <w:rFonts w:cs="Calibri"/>
        </w:rPr>
        <w:t>służb</w:t>
      </w:r>
      <w:r>
        <w:rPr>
          <w:rFonts w:cs="Calibri"/>
        </w:rPr>
        <w:t>y</w:t>
      </w:r>
      <w:r w:rsidRPr="006925D7">
        <w:rPr>
          <w:rFonts w:cs="Calibri"/>
        </w:rPr>
        <w:t xml:space="preserve"> zdrowia lub </w:t>
      </w:r>
      <w:r>
        <w:rPr>
          <w:rFonts w:cs="Calibri"/>
        </w:rPr>
        <w:t>pomocy społecznej</w:t>
      </w:r>
      <w:r w:rsidRPr="006925D7">
        <w:rPr>
          <w:rFonts w:cs="Calibri"/>
        </w:rPr>
        <w:t>. Powinno to zapewnić, że w obecnej sytuacji rosnące zapotrzebowanie na pomoc psychologiczną we wszystkich szkołach zostanie zaspokojone.</w:t>
      </w:r>
    </w:p>
    <w:p w14:paraId="0860E928" w14:textId="0C7F5051" w:rsidR="006925D7" w:rsidRPr="006925D7" w:rsidRDefault="006925D7" w:rsidP="000C58F4">
      <w:pPr>
        <w:pStyle w:val="Agency-body-text"/>
        <w:jc w:val="both"/>
        <w:rPr>
          <w:rFonts w:cs="Calibri"/>
        </w:rPr>
      </w:pPr>
      <w:r w:rsidRPr="006925D7">
        <w:rPr>
          <w:rFonts w:cs="Calibri"/>
        </w:rPr>
        <w:t xml:space="preserve">Nie ulega wątpliwości, że rodzice coraz częściej wybierają dla swoich dzieci wymagających dodatkowego wsparcia edukację </w:t>
      </w:r>
      <w:r>
        <w:rPr>
          <w:rFonts w:cs="Calibri"/>
        </w:rPr>
        <w:t xml:space="preserve">w szkołach </w:t>
      </w:r>
      <w:r w:rsidRPr="006925D7">
        <w:rPr>
          <w:rFonts w:cs="Calibri"/>
        </w:rPr>
        <w:t>ogólnodostępn</w:t>
      </w:r>
      <w:r>
        <w:rPr>
          <w:rFonts w:cs="Calibri"/>
        </w:rPr>
        <w:t>ych</w:t>
      </w:r>
      <w:r w:rsidRPr="006925D7">
        <w:rPr>
          <w:rFonts w:cs="Calibri"/>
        </w:rPr>
        <w:t xml:space="preserve">. Dlatego </w:t>
      </w:r>
      <w:r>
        <w:rPr>
          <w:rFonts w:cs="Calibri"/>
        </w:rPr>
        <w:t xml:space="preserve">też </w:t>
      </w:r>
      <w:r w:rsidRPr="006925D7">
        <w:rPr>
          <w:rFonts w:cs="Calibri"/>
        </w:rPr>
        <w:t xml:space="preserve">w okresie </w:t>
      </w:r>
      <w:r>
        <w:rPr>
          <w:rFonts w:cs="Calibri"/>
        </w:rPr>
        <w:t xml:space="preserve">wprowadzania </w:t>
      </w:r>
      <w:r w:rsidRPr="006925D7">
        <w:rPr>
          <w:rFonts w:cs="Calibri"/>
        </w:rPr>
        <w:t>zmian należy utrzymać wysoką jakość specjalistycznego wsparcia dla uczniów we wszystkich placówkach.</w:t>
      </w:r>
    </w:p>
    <w:p w14:paraId="663B4A66" w14:textId="3AC12617" w:rsidR="00D20048" w:rsidRPr="006925D7" w:rsidRDefault="006925D7" w:rsidP="00672FE3">
      <w:pPr>
        <w:pStyle w:val="Agency-body-text"/>
        <w:jc w:val="both"/>
      </w:pPr>
      <w:r w:rsidRPr="000D6BE5">
        <w:lastRenderedPageBreak/>
        <w:t>Autorzy dokumentu UNESCO (2017) dostrzegają dylemat, przed którym st</w:t>
      </w:r>
      <w:r w:rsidR="000D6BE5">
        <w:t>a</w:t>
      </w:r>
      <w:r w:rsidRPr="000D6BE5">
        <w:t>j</w:t>
      </w:r>
      <w:r w:rsidR="000D6BE5">
        <w:t>ą</w:t>
      </w:r>
      <w:r w:rsidRPr="000D6BE5">
        <w:t xml:space="preserve"> niektórzy rodzice i zauważają, że warto wprowadzić rozróżnienie pomiędzy potrzebami, prawami i możliwościami. </w:t>
      </w:r>
      <w:r w:rsidRPr="006925D7">
        <w:t xml:space="preserve">Twierdzą oni, że: </w:t>
      </w:r>
      <w:r w:rsidRPr="000D6BE5">
        <w:rPr>
          <w:i/>
          <w:iCs/>
        </w:rPr>
        <w:t>Podczas gdy wszyscy uczący się posiadają pewne potrzeby (np. w zakresie odpowiedniego nauczania), mają oni również prawo do pełnego uczestnictwa w życiu wspólnej instytucji społecznej (jaką jest lokalna szkoła ogólnodostępna), która oferuje im szereg możliwości. Zbyt często rodzice są zmuszeni wybierać pomiędzy zapewnieniem, że potrzeby ich dziecka są zasp</w:t>
      </w:r>
      <w:r w:rsidR="00672FE3">
        <w:rPr>
          <w:i/>
          <w:iCs/>
        </w:rPr>
        <w:t>a</w:t>
      </w:r>
      <w:r w:rsidRPr="000D6BE5">
        <w:rPr>
          <w:i/>
          <w:iCs/>
        </w:rPr>
        <w:t>k</w:t>
      </w:r>
      <w:r w:rsidR="00672FE3">
        <w:rPr>
          <w:i/>
          <w:iCs/>
        </w:rPr>
        <w:t>a</w:t>
      </w:r>
      <w:r w:rsidRPr="000D6BE5">
        <w:rPr>
          <w:i/>
          <w:iCs/>
        </w:rPr>
        <w:t>j</w:t>
      </w:r>
      <w:r w:rsidR="00672FE3">
        <w:rPr>
          <w:i/>
          <w:iCs/>
        </w:rPr>
        <w:t>a</w:t>
      </w:r>
      <w:r w:rsidRPr="000D6BE5">
        <w:rPr>
          <w:i/>
          <w:iCs/>
        </w:rPr>
        <w:t xml:space="preserve">ne (co czasami oznacza umieszczenie </w:t>
      </w:r>
      <w:r w:rsidR="006667E1">
        <w:rPr>
          <w:i/>
          <w:iCs/>
        </w:rPr>
        <w:t>dziecka</w:t>
      </w:r>
      <w:r w:rsidRPr="000D6BE5">
        <w:rPr>
          <w:i/>
          <w:iCs/>
        </w:rPr>
        <w:t xml:space="preserve"> w specjalnej szkole lub</w:t>
      </w:r>
      <w:r w:rsidR="000D6BE5" w:rsidRPr="000D6BE5">
        <w:rPr>
          <w:i/>
          <w:iCs/>
        </w:rPr>
        <w:t xml:space="preserve"> </w:t>
      </w:r>
      <w:r w:rsidR="006667E1">
        <w:rPr>
          <w:i/>
          <w:iCs/>
        </w:rPr>
        <w:t>placówce</w:t>
      </w:r>
      <w:r w:rsidRPr="000D6BE5">
        <w:rPr>
          <w:i/>
          <w:iCs/>
        </w:rPr>
        <w:t xml:space="preserve">), a zapewnieniem, że ma ono takie same prawa i możliwości jak inni uczniowie (co oznacza umieszczenie </w:t>
      </w:r>
      <w:r w:rsidR="000D6BE5" w:rsidRPr="000D6BE5">
        <w:rPr>
          <w:i/>
          <w:iCs/>
        </w:rPr>
        <w:t xml:space="preserve">go </w:t>
      </w:r>
      <w:r w:rsidRPr="000D6BE5">
        <w:rPr>
          <w:i/>
          <w:iCs/>
        </w:rPr>
        <w:t>w szkole ogólnodostępnej)</w:t>
      </w:r>
      <w:r w:rsidRPr="006925D7">
        <w:t xml:space="preserve"> </w:t>
      </w:r>
      <w:r w:rsidR="00D20048" w:rsidRPr="006925D7">
        <w:t>(</w:t>
      </w:r>
      <w:r w:rsidR="001177BB" w:rsidRPr="006925D7">
        <w:t>str.</w:t>
      </w:r>
      <w:r w:rsidR="008E2739" w:rsidRPr="006925D7">
        <w:t xml:space="preserve"> </w:t>
      </w:r>
      <w:r w:rsidR="00D20048" w:rsidRPr="006925D7">
        <w:t>231).</w:t>
      </w:r>
    </w:p>
    <w:p w14:paraId="615A3DBC" w14:textId="5FE06F9A" w:rsidR="00FA62BE" w:rsidRPr="00FA62BE" w:rsidRDefault="00FA62BE" w:rsidP="00672FE3">
      <w:pPr>
        <w:pStyle w:val="Agency-body-text"/>
        <w:jc w:val="both"/>
      </w:pPr>
      <w:r w:rsidRPr="00672FE3">
        <w:t xml:space="preserve">Ogólnie rzecz biorąc, państwa powinny pracować nad stworzeniem systemu edukacji, w którym takie wybory nie będą już konieczne. </w:t>
      </w:r>
      <w:r w:rsidRPr="00FA62BE">
        <w:t xml:space="preserve">System ten powinien wspierać lokalne szkoły i nauczycieli w rozwijaniu ich możliwości, między innymi poprzez zwiększenie współpracy między sektorami. </w:t>
      </w:r>
    </w:p>
    <w:p w14:paraId="58EABBA8" w14:textId="58E2EA63" w:rsidR="00566D0D" w:rsidRPr="00FA62BE" w:rsidRDefault="00FA62BE" w:rsidP="00672FE3">
      <w:pPr>
        <w:pStyle w:val="Agency-body-text"/>
        <w:jc w:val="both"/>
        <w:rPr>
          <w:rFonts w:cs="Calibri"/>
        </w:rPr>
      </w:pPr>
      <w:r w:rsidRPr="00FA62BE">
        <w:t xml:space="preserve">Należy również uznać, że segregacja jest sprzeczna z </w:t>
      </w:r>
      <w:r w:rsidRPr="00672FE3">
        <w:rPr>
          <w:i/>
          <w:iCs/>
        </w:rPr>
        <w:t xml:space="preserve">Konwencją Narodów Zjednoczonych o prawach osób niepełnosprawnych </w:t>
      </w:r>
      <w:r w:rsidRPr="00FA62BE">
        <w:t xml:space="preserve">(UNCRPD). Jest to potwierdzone przez Komitet Praw Osób Niepełnosprawnych ONZ w </w:t>
      </w:r>
      <w:r w:rsidRPr="00672FE3">
        <w:rPr>
          <w:i/>
          <w:iCs/>
        </w:rPr>
        <w:t>Komentarzu Ogólnym nr 6 do Artykułu 5</w:t>
      </w:r>
      <w:r w:rsidR="00E818D5">
        <w:rPr>
          <w:i/>
          <w:iCs/>
        </w:rPr>
        <w:t>.</w:t>
      </w:r>
      <w:r w:rsidRPr="00672FE3">
        <w:rPr>
          <w:i/>
          <w:iCs/>
        </w:rPr>
        <w:t xml:space="preserve"> Konwencji - Równość i niedyskryminacja</w:t>
      </w:r>
      <w:r w:rsidRPr="00FA62BE">
        <w:t>, który</w:t>
      </w:r>
      <w:r>
        <w:t xml:space="preserve"> stanowi, co następuje</w:t>
      </w:r>
      <w:r w:rsidRPr="00FA62BE">
        <w:t>:</w:t>
      </w:r>
    </w:p>
    <w:p w14:paraId="56735211" w14:textId="14626C71" w:rsidR="00744966" w:rsidRPr="00FA62BE" w:rsidRDefault="00FA62BE" w:rsidP="00672FE3">
      <w:pPr>
        <w:pStyle w:val="Agency-body-text"/>
        <w:jc w:val="both"/>
        <w:rPr>
          <w:i/>
          <w:iCs/>
        </w:rPr>
      </w:pPr>
      <w:r>
        <w:rPr>
          <w:i/>
          <w:iCs/>
        </w:rPr>
        <w:t>„</w:t>
      </w:r>
      <w:r w:rsidRPr="00FA62BE">
        <w:rPr>
          <w:i/>
          <w:iCs/>
        </w:rPr>
        <w:t xml:space="preserve">Komitet zaobserwował, że często dyskryminacja ze względu na niepełnosprawność, taka jak (...) segregacja, niesłusznie nie jest uznawana za dyskryminację i jest błędnie uzasadniana jako </w:t>
      </w:r>
      <w:r>
        <w:rPr>
          <w:i/>
          <w:iCs/>
        </w:rPr>
        <w:t xml:space="preserve">stosowana, </w:t>
      </w:r>
      <w:r w:rsidRPr="00FA62BE">
        <w:rPr>
          <w:i/>
          <w:iCs/>
        </w:rPr>
        <w:t>między innymi</w:t>
      </w:r>
      <w:r>
        <w:rPr>
          <w:i/>
          <w:iCs/>
        </w:rPr>
        <w:t>,</w:t>
      </w:r>
      <w:r w:rsidRPr="00FA62BE">
        <w:rPr>
          <w:i/>
          <w:iCs/>
        </w:rPr>
        <w:t xml:space="preserve"> w celu rzekomej ochrony </w:t>
      </w:r>
      <w:r>
        <w:rPr>
          <w:i/>
          <w:iCs/>
        </w:rPr>
        <w:t xml:space="preserve">danej osoby </w:t>
      </w:r>
      <w:r w:rsidRPr="00FA62BE">
        <w:rPr>
          <w:i/>
          <w:iCs/>
        </w:rPr>
        <w:t>niepełnosprawn</w:t>
      </w:r>
      <w:r>
        <w:rPr>
          <w:i/>
          <w:iCs/>
        </w:rPr>
        <w:t>ej lub opieki nad nią</w:t>
      </w:r>
      <w:r w:rsidRPr="00FA62BE">
        <w:rPr>
          <w:i/>
          <w:iCs/>
        </w:rPr>
        <w:t xml:space="preserve">, w jej najlepszym interesie lub w interesie porządku publicznego. Takie praktyki </w:t>
      </w:r>
      <w:r>
        <w:rPr>
          <w:i/>
          <w:iCs/>
        </w:rPr>
        <w:t xml:space="preserve">stoją </w:t>
      </w:r>
      <w:r w:rsidRPr="00FA62BE">
        <w:rPr>
          <w:i/>
          <w:iCs/>
        </w:rPr>
        <w:t>w bezpośredniej sprzeczności z Konwencją i jej zasadami, w tym z poszanowaniem przyrodzonej godności, autonomii i wolności dokonywania wyborów</w:t>
      </w:r>
      <w:r w:rsidR="00566D0D" w:rsidRPr="00FA62BE">
        <w:rPr>
          <w:i/>
          <w:iCs/>
        </w:rPr>
        <w:t>”.</w:t>
      </w:r>
    </w:p>
    <w:p w14:paraId="22575DD7" w14:textId="376072E9" w:rsidR="00744966" w:rsidRPr="009D2255" w:rsidRDefault="009D2255" w:rsidP="00F61E93">
      <w:pPr>
        <w:pStyle w:val="Agency-body-text"/>
        <w:jc w:val="both"/>
      </w:pPr>
      <w:r w:rsidRPr="009D2255">
        <w:t xml:space="preserve">W </w:t>
      </w:r>
      <w:r w:rsidR="00F61E93">
        <w:t xml:space="preserve">ramach </w:t>
      </w:r>
      <w:r w:rsidRPr="009D2255">
        <w:t>badani</w:t>
      </w:r>
      <w:r w:rsidR="00F61E93">
        <w:t>a</w:t>
      </w:r>
      <w:r w:rsidRPr="009D2255">
        <w:t xml:space="preserve"> rozpoznawcz</w:t>
      </w:r>
      <w:r w:rsidR="00F61E93">
        <w:t>ego</w:t>
      </w:r>
      <w:r w:rsidRPr="009D2255">
        <w:t xml:space="preserve"> dotycząc</w:t>
      </w:r>
      <w:r w:rsidR="00F61E93">
        <w:t>ego</w:t>
      </w:r>
      <w:r w:rsidRPr="009D2255">
        <w:t xml:space="preserve"> włączania do szkół ogólnodostępnych uczniów </w:t>
      </w:r>
      <w:r>
        <w:t xml:space="preserve">posiadających bardziej złożone </w:t>
      </w:r>
      <w:r w:rsidRPr="009D2255">
        <w:t>potrzeb</w:t>
      </w:r>
      <w:r>
        <w:t>y w zakresie wsparcia, autorzy dokumentu pt.:</w:t>
      </w:r>
      <w:r w:rsidRPr="009D2255">
        <w:t xml:space="preserve"> </w:t>
      </w:r>
      <w:r w:rsidRPr="009D2255">
        <w:rPr>
          <w:i/>
          <w:iCs/>
        </w:rPr>
        <w:t>Inclusion Europe</w:t>
      </w:r>
      <w:r w:rsidRPr="009D2255">
        <w:t xml:space="preserve"> (2018) zauważa</w:t>
      </w:r>
      <w:r>
        <w:t>ją</w:t>
      </w:r>
      <w:r w:rsidRPr="009D2255">
        <w:t xml:space="preserve">, że wszystkie kraje, które wzięły udział w </w:t>
      </w:r>
      <w:r w:rsidR="00F61E93">
        <w:t xml:space="preserve">tym </w:t>
      </w:r>
      <w:r w:rsidRPr="009D2255">
        <w:t xml:space="preserve">badaniu, stwierdziły, że istniały możliwości zwolnienia z prawnego obowiązku kształcenia dzieci ze złożonymi potrzebami </w:t>
      </w:r>
      <w:r w:rsidR="00F61E93">
        <w:t xml:space="preserve">w zakresie </w:t>
      </w:r>
      <w:r w:rsidRPr="009D2255">
        <w:t xml:space="preserve">wsparcia, jeśli wnioskowali o to rodzice. W raporcie przyznano również, że </w:t>
      </w:r>
      <w:r w:rsidR="00F61E93">
        <w:t>„</w:t>
      </w:r>
      <w:r w:rsidRPr="00BA0E20">
        <w:rPr>
          <w:i/>
          <w:iCs/>
        </w:rPr>
        <w:t xml:space="preserve">osoby </w:t>
      </w:r>
      <w:r w:rsidR="00F61E93" w:rsidRPr="00BA0E20">
        <w:rPr>
          <w:i/>
          <w:iCs/>
        </w:rPr>
        <w:t xml:space="preserve">posiadające </w:t>
      </w:r>
      <w:r w:rsidRPr="00BA0E20">
        <w:rPr>
          <w:i/>
          <w:iCs/>
        </w:rPr>
        <w:t>złożon</w:t>
      </w:r>
      <w:r w:rsidR="00F61E93" w:rsidRPr="00BA0E20">
        <w:rPr>
          <w:i/>
          <w:iCs/>
        </w:rPr>
        <w:t>e</w:t>
      </w:r>
      <w:r w:rsidRPr="00BA0E20">
        <w:rPr>
          <w:i/>
          <w:iCs/>
        </w:rPr>
        <w:t xml:space="preserve"> potrzeb</w:t>
      </w:r>
      <w:r w:rsidR="00BA0E20" w:rsidRPr="00BA0E20">
        <w:rPr>
          <w:i/>
          <w:iCs/>
        </w:rPr>
        <w:t>y</w:t>
      </w:r>
      <w:r w:rsidRPr="00BA0E20">
        <w:rPr>
          <w:i/>
          <w:iCs/>
        </w:rPr>
        <w:t xml:space="preserve"> </w:t>
      </w:r>
      <w:r w:rsidR="00F61E93" w:rsidRPr="00BA0E20">
        <w:rPr>
          <w:i/>
          <w:iCs/>
        </w:rPr>
        <w:t xml:space="preserve">w zakresie </w:t>
      </w:r>
      <w:r w:rsidRPr="00BA0E20">
        <w:rPr>
          <w:i/>
          <w:iCs/>
        </w:rPr>
        <w:t xml:space="preserve">wsparcia wydają się być wciąż </w:t>
      </w:r>
      <w:r w:rsidR="00F61E93" w:rsidRPr="00BA0E20">
        <w:rPr>
          <w:i/>
          <w:iCs/>
        </w:rPr>
        <w:t>„</w:t>
      </w:r>
      <w:r w:rsidRPr="00BA0E20">
        <w:rPr>
          <w:i/>
          <w:iCs/>
        </w:rPr>
        <w:t>niewidzialnymi obywatelami</w:t>
      </w:r>
      <w:r w:rsidR="00F61E93" w:rsidRPr="00BA0E20">
        <w:rPr>
          <w:i/>
          <w:iCs/>
        </w:rPr>
        <w:t>”</w:t>
      </w:r>
      <w:r w:rsidRPr="00BA0E20">
        <w:rPr>
          <w:i/>
          <w:iCs/>
        </w:rPr>
        <w:t xml:space="preserve"> i nie </w:t>
      </w:r>
      <w:r w:rsidR="00F61E93" w:rsidRPr="00BA0E20">
        <w:rPr>
          <w:i/>
          <w:iCs/>
        </w:rPr>
        <w:t xml:space="preserve">są odnotowywane </w:t>
      </w:r>
      <w:r w:rsidRPr="00BA0E20">
        <w:rPr>
          <w:i/>
          <w:iCs/>
        </w:rPr>
        <w:t>w żadnych ogólnych statystykach i</w:t>
      </w:r>
      <w:r w:rsidR="00F61E93" w:rsidRPr="00BA0E20">
        <w:rPr>
          <w:i/>
          <w:iCs/>
        </w:rPr>
        <w:t xml:space="preserve"> </w:t>
      </w:r>
      <w:r w:rsidR="00BA0E20" w:rsidRPr="00BA0E20">
        <w:rPr>
          <w:i/>
          <w:iCs/>
        </w:rPr>
        <w:t>analizach</w:t>
      </w:r>
      <w:r w:rsidR="00F61E93" w:rsidRPr="00BA0E20">
        <w:rPr>
          <w:i/>
          <w:iCs/>
        </w:rPr>
        <w:t>”</w:t>
      </w:r>
      <w:r w:rsidRPr="009D2255">
        <w:t xml:space="preserve"> (str. 22). Podkreśla to jeszcze bardziej znaczenie monitorowania oferty </w:t>
      </w:r>
      <w:r w:rsidR="00E96926">
        <w:t xml:space="preserve">przeznaczonej </w:t>
      </w:r>
      <w:r w:rsidRPr="009D2255">
        <w:t>dla tej grupy uczniów</w:t>
      </w:r>
      <w:r w:rsidR="00BA0E20">
        <w:t>.</w:t>
      </w:r>
    </w:p>
    <w:p w14:paraId="5C4B55BC" w14:textId="39F60C24" w:rsidR="00D06099" w:rsidRPr="00DC5617" w:rsidRDefault="00F769E6" w:rsidP="00BA0E20">
      <w:pPr>
        <w:pStyle w:val="Agency-body-text"/>
        <w:jc w:val="both"/>
        <w:rPr>
          <w:rFonts w:ascii="SymbolMT" w:hAnsi="SymbolMT"/>
        </w:rPr>
      </w:pPr>
      <w:r w:rsidRPr="00F769E6">
        <w:t>Europejska Agencja (</w:t>
      </w:r>
      <w:r w:rsidR="00B6419A">
        <w:t xml:space="preserve">European Agency </w:t>
      </w:r>
      <w:r w:rsidRPr="00F769E6">
        <w:t>2019b)</w:t>
      </w:r>
      <w:r w:rsidR="00BA0E20">
        <w:t xml:space="preserve"> </w:t>
      </w:r>
      <w:r w:rsidRPr="00F769E6">
        <w:t>w ramach projektu</w:t>
      </w:r>
      <w:r w:rsidR="00D06099" w:rsidRPr="00F769E6">
        <w:t xml:space="preserve">  </w:t>
      </w:r>
      <w:r w:rsidRPr="00F769E6">
        <w:t xml:space="preserve"> pt.: </w:t>
      </w:r>
      <w:r w:rsidR="00D06099" w:rsidRPr="00B6419A">
        <w:rPr>
          <w:i/>
          <w:iCs/>
        </w:rPr>
        <w:t>the Changing Role of Specialist Provision in Supporting Inclusive Education</w:t>
      </w:r>
      <w:r w:rsidR="00D06099" w:rsidRPr="00BA0E20">
        <w:rPr>
          <w:i/>
          <w:iCs/>
        </w:rPr>
        <w:t xml:space="preserve"> </w:t>
      </w:r>
      <w:r w:rsidR="00D06099" w:rsidRPr="00BA0E20">
        <w:t>(</w:t>
      </w:r>
      <w:r w:rsidR="00D06099" w:rsidRPr="00F769E6">
        <w:t xml:space="preserve">CROSP) </w:t>
      </w:r>
      <w:r w:rsidRPr="00F769E6">
        <w:t xml:space="preserve">(pol.: </w:t>
      </w:r>
      <w:r w:rsidRPr="00BA0E20">
        <w:rPr>
          <w:i/>
          <w:iCs/>
        </w:rPr>
        <w:t xml:space="preserve">Zmieniająca się rola szkół </w:t>
      </w:r>
      <w:r w:rsidR="00B6419A">
        <w:rPr>
          <w:i/>
          <w:iCs/>
        </w:rPr>
        <w:t>i</w:t>
      </w:r>
      <w:r w:rsidRPr="00BA0E20">
        <w:rPr>
          <w:i/>
          <w:iCs/>
        </w:rPr>
        <w:t xml:space="preserve"> placówek specjalnych we wspieraniu edukacji włączającej</w:t>
      </w:r>
      <w:r w:rsidRPr="00F769E6">
        <w:t>)</w:t>
      </w:r>
      <w:r w:rsidR="00EC6F04" w:rsidRPr="00F769E6">
        <w:t xml:space="preserve"> </w:t>
      </w:r>
      <w:r>
        <w:t xml:space="preserve">analizuje </w:t>
      </w:r>
      <w:r w:rsidRPr="00F769E6">
        <w:t xml:space="preserve">rodzaj międzysektorowych ram politycznych potrzebnych do skutecznego wspierania zmieniającej się roli specjalistycznej oferty oraz </w:t>
      </w:r>
      <w:r>
        <w:t xml:space="preserve">typów </w:t>
      </w:r>
      <w:r w:rsidRPr="00F769E6">
        <w:t xml:space="preserve">zmian i reform wymaganych do zapewnienia, że prawa do edukacji włączającej wszystkich </w:t>
      </w:r>
      <w:r>
        <w:t xml:space="preserve">osób </w:t>
      </w:r>
      <w:r w:rsidRPr="00F769E6">
        <w:t>uczących się są skutecznie realizowane. Projekt zawiera również przykłady krajów,</w:t>
      </w:r>
      <w:r>
        <w:t xml:space="preserve"> które wprowadzają zmiany w </w:t>
      </w:r>
      <w:r w:rsidRPr="00F769E6">
        <w:t xml:space="preserve"> relacja</w:t>
      </w:r>
      <w:r w:rsidR="00BA0E20">
        <w:t>ch</w:t>
      </w:r>
      <w:r w:rsidRPr="00F769E6">
        <w:t xml:space="preserve"> między </w:t>
      </w:r>
      <w:r>
        <w:t xml:space="preserve">szkołami ogólnodostępnymi a placówkami specjalnymi </w:t>
      </w:r>
      <w:r w:rsidRPr="00F769E6">
        <w:t xml:space="preserve">oraz rozwijają nowe systemy </w:t>
      </w:r>
      <w:r>
        <w:t xml:space="preserve">udzielania </w:t>
      </w:r>
      <w:r w:rsidRPr="00F769E6">
        <w:t xml:space="preserve">wsparcia. </w:t>
      </w:r>
    </w:p>
    <w:p w14:paraId="70240B61" w14:textId="2C821484" w:rsidR="00D06099" w:rsidRPr="00522AF7" w:rsidRDefault="00F769E6" w:rsidP="00522AF7">
      <w:pPr>
        <w:pStyle w:val="Agency-body-text"/>
        <w:jc w:val="both"/>
      </w:pPr>
      <w:r w:rsidRPr="00F769E6">
        <w:lastRenderedPageBreak/>
        <w:t xml:space="preserve">W ramach </w:t>
      </w:r>
      <w:r w:rsidR="00E818D5">
        <w:t xml:space="preserve">ww. </w:t>
      </w:r>
      <w:r w:rsidRPr="00F769E6">
        <w:t xml:space="preserve">projektu </w:t>
      </w:r>
      <w:r w:rsidR="00D20048" w:rsidRPr="00F769E6">
        <w:t xml:space="preserve">CROSP </w:t>
      </w:r>
      <w:r w:rsidR="00D06099" w:rsidRPr="00F769E6">
        <w:t xml:space="preserve"> </w:t>
      </w:r>
      <w:r w:rsidR="00522AF7" w:rsidRPr="00F769E6">
        <w:t>określono</w:t>
      </w:r>
      <w:r w:rsidRPr="00F769E6">
        <w:t xml:space="preserve"> </w:t>
      </w:r>
      <w:r w:rsidR="00D06099" w:rsidRPr="00F769E6">
        <w:t xml:space="preserve">4 </w:t>
      </w:r>
      <w:r w:rsidRPr="00F769E6">
        <w:t xml:space="preserve">czynniki uznane </w:t>
      </w:r>
      <w:r w:rsidR="00BA0E20" w:rsidRPr="00F769E6">
        <w:t xml:space="preserve">przez decydentów politycznych </w:t>
      </w:r>
      <w:r w:rsidRPr="00F769E6">
        <w:t>za istotne</w:t>
      </w:r>
      <w:r w:rsidR="00D06099" w:rsidRPr="00F769E6">
        <w:t>:</w:t>
      </w:r>
      <w:r w:rsidR="00D06099" w:rsidRPr="00522AF7">
        <w:rPr>
          <w:rFonts w:cs="Calibri"/>
        </w:rPr>
        <w:t xml:space="preserve"> </w:t>
      </w:r>
    </w:p>
    <w:p w14:paraId="311A56CF" w14:textId="04F2B912" w:rsidR="004250C1" w:rsidRPr="004250C1" w:rsidRDefault="004250C1" w:rsidP="00522AF7">
      <w:pPr>
        <w:pStyle w:val="Agency-body-text"/>
        <w:numPr>
          <w:ilvl w:val="0"/>
          <w:numId w:val="22"/>
        </w:numPr>
        <w:jc w:val="both"/>
        <w:rPr>
          <w:rFonts w:cs="Calibri"/>
        </w:rPr>
      </w:pPr>
      <w:r w:rsidRPr="004250C1">
        <w:rPr>
          <w:rFonts w:cs="Calibri"/>
        </w:rPr>
        <w:t>Mechanizmy zarząd</w:t>
      </w:r>
      <w:r w:rsidR="00522AF7">
        <w:rPr>
          <w:rFonts w:cs="Calibri"/>
        </w:rPr>
        <w:t>cze</w:t>
      </w:r>
      <w:r w:rsidRPr="004250C1">
        <w:rPr>
          <w:rFonts w:cs="Calibri"/>
        </w:rPr>
        <w:t xml:space="preserve"> wspierające współpracę pomiędzy </w:t>
      </w:r>
      <w:r w:rsidR="00522AF7">
        <w:rPr>
          <w:rFonts w:cs="Calibri"/>
        </w:rPr>
        <w:t xml:space="preserve">placówkami </w:t>
      </w:r>
      <w:r w:rsidRPr="004250C1">
        <w:rPr>
          <w:rFonts w:cs="Calibri"/>
        </w:rPr>
        <w:t>specjal</w:t>
      </w:r>
      <w:r w:rsidR="00522AF7">
        <w:rPr>
          <w:rFonts w:cs="Calibri"/>
        </w:rPr>
        <w:t>nymi a szkołami</w:t>
      </w:r>
      <w:r w:rsidRPr="004250C1">
        <w:rPr>
          <w:rFonts w:cs="Calibri"/>
        </w:rPr>
        <w:t xml:space="preserve"> ogólnodostępnymi na wszystkich poziomach. </w:t>
      </w:r>
    </w:p>
    <w:p w14:paraId="5A8101EA" w14:textId="4E682300" w:rsidR="004250C1" w:rsidRPr="004250C1" w:rsidRDefault="004250C1" w:rsidP="00522AF7">
      <w:pPr>
        <w:pStyle w:val="Agency-body-text"/>
        <w:numPr>
          <w:ilvl w:val="0"/>
          <w:numId w:val="22"/>
        </w:numPr>
        <w:jc w:val="both"/>
        <w:rPr>
          <w:rFonts w:cs="Calibri"/>
        </w:rPr>
      </w:pPr>
      <w:r w:rsidRPr="004250C1">
        <w:rPr>
          <w:rFonts w:cs="Calibri"/>
        </w:rPr>
        <w:t>Polityka i strategie finansowania, które wspierają placówki specjal</w:t>
      </w:r>
      <w:r w:rsidR="00522AF7">
        <w:rPr>
          <w:rFonts w:cs="Calibri"/>
        </w:rPr>
        <w:t>ne</w:t>
      </w:r>
      <w:r w:rsidR="00DC5617">
        <w:rPr>
          <w:rFonts w:cs="Calibri"/>
        </w:rPr>
        <w:t>,</w:t>
      </w:r>
      <w:r w:rsidR="00522AF7">
        <w:rPr>
          <w:rFonts w:cs="Calibri"/>
        </w:rPr>
        <w:t xml:space="preserve"> powinny stanowić</w:t>
      </w:r>
      <w:r w:rsidRPr="004250C1">
        <w:rPr>
          <w:rFonts w:cs="Calibri"/>
        </w:rPr>
        <w:t xml:space="preserve"> źródło zasobów dla edukacji włączającej. </w:t>
      </w:r>
    </w:p>
    <w:p w14:paraId="2233491F" w14:textId="786296B0" w:rsidR="004250C1" w:rsidRPr="004250C1" w:rsidRDefault="004250C1" w:rsidP="00522AF7">
      <w:pPr>
        <w:pStyle w:val="Agency-body-text"/>
        <w:numPr>
          <w:ilvl w:val="0"/>
          <w:numId w:val="22"/>
        </w:numPr>
        <w:jc w:val="both"/>
        <w:rPr>
          <w:rFonts w:cs="Calibri"/>
        </w:rPr>
      </w:pPr>
      <w:r w:rsidRPr="004250C1">
        <w:rPr>
          <w:rFonts w:cs="Calibri"/>
        </w:rPr>
        <w:t xml:space="preserve">Mechanizmy budowania potencjału, które umożliwiają </w:t>
      </w:r>
      <w:r w:rsidR="00522AF7">
        <w:rPr>
          <w:rFonts w:cs="Calibri"/>
        </w:rPr>
        <w:t xml:space="preserve">profesjonalistom zatrudnionym w </w:t>
      </w:r>
      <w:r w:rsidRPr="004250C1">
        <w:rPr>
          <w:rFonts w:cs="Calibri"/>
        </w:rPr>
        <w:t>placów</w:t>
      </w:r>
      <w:r w:rsidR="00522AF7">
        <w:rPr>
          <w:rFonts w:cs="Calibri"/>
        </w:rPr>
        <w:t>kach specjalnych</w:t>
      </w:r>
      <w:r w:rsidRPr="004250C1">
        <w:rPr>
          <w:rFonts w:cs="Calibri"/>
        </w:rPr>
        <w:t xml:space="preserve"> skuteczne wspieranie interesariuszy</w:t>
      </w:r>
      <w:r w:rsidR="00522AF7">
        <w:rPr>
          <w:rFonts w:cs="Calibri"/>
        </w:rPr>
        <w:t xml:space="preserve"> ze szkół ogólnodostępnych</w:t>
      </w:r>
      <w:r w:rsidRPr="004250C1">
        <w:rPr>
          <w:rFonts w:cs="Calibri"/>
        </w:rPr>
        <w:t xml:space="preserve">. </w:t>
      </w:r>
    </w:p>
    <w:p w14:paraId="20E210FD" w14:textId="587F528D" w:rsidR="004250C1" w:rsidRPr="004250C1" w:rsidRDefault="004250C1" w:rsidP="00522AF7">
      <w:pPr>
        <w:pStyle w:val="Agency-body-text"/>
        <w:numPr>
          <w:ilvl w:val="0"/>
          <w:numId w:val="22"/>
        </w:numPr>
        <w:jc w:val="both"/>
        <w:rPr>
          <w:rFonts w:cs="Calibri"/>
        </w:rPr>
      </w:pPr>
      <w:r w:rsidRPr="004250C1">
        <w:rPr>
          <w:rFonts w:cs="Calibri"/>
        </w:rPr>
        <w:t xml:space="preserve">Mechanizmy zapewniania jakości w zakresie specjalistycznej oferty, które promują przejrzyste i </w:t>
      </w:r>
      <w:r w:rsidR="00522AF7">
        <w:rPr>
          <w:rFonts w:cs="Calibri"/>
        </w:rPr>
        <w:t>rozlicza</w:t>
      </w:r>
      <w:r w:rsidR="00522AF7" w:rsidRPr="004250C1">
        <w:rPr>
          <w:rFonts w:cs="Calibri"/>
        </w:rPr>
        <w:t>lne</w:t>
      </w:r>
      <w:r w:rsidRPr="004250C1">
        <w:rPr>
          <w:rFonts w:cs="Calibri"/>
        </w:rPr>
        <w:t xml:space="preserve"> systemy edukacji włączającej.</w:t>
      </w:r>
    </w:p>
    <w:p w14:paraId="0AE114DC" w14:textId="1EDF26C9" w:rsidR="00DC5617" w:rsidRPr="00DC5617" w:rsidRDefault="00DC5617" w:rsidP="00DC5617">
      <w:pPr>
        <w:pStyle w:val="Agency-body-text"/>
        <w:jc w:val="both"/>
      </w:pPr>
      <w:r w:rsidRPr="00DC5617">
        <w:t xml:space="preserve">Wdrożenie modelu </w:t>
      </w:r>
      <w:r>
        <w:t>„</w:t>
      </w:r>
      <w:r w:rsidRPr="00DC5617">
        <w:t>Edukacja dla wszystkich</w:t>
      </w:r>
      <w:r>
        <w:t>”</w:t>
      </w:r>
      <w:r w:rsidRPr="00DC5617">
        <w:t xml:space="preserve"> może przyczynić się do </w:t>
      </w:r>
      <w:r w:rsidR="00C417A0">
        <w:t>określenia</w:t>
      </w:r>
      <w:r w:rsidR="00C417A0" w:rsidRPr="00DC5617">
        <w:t xml:space="preserve"> </w:t>
      </w:r>
      <w:r w:rsidRPr="00DC5617">
        <w:t>nowej roli szkół</w:t>
      </w:r>
      <w:r>
        <w:t xml:space="preserve">/ placówek </w:t>
      </w:r>
      <w:r w:rsidRPr="00DC5617">
        <w:t xml:space="preserve">specjalnych, wykorzystując informacje </w:t>
      </w:r>
      <w:r>
        <w:t xml:space="preserve">zgromadzone w czasie realizacji projektów </w:t>
      </w:r>
      <w:r w:rsidRPr="00DC5617">
        <w:t>pilotażowych oraz szkoleń</w:t>
      </w:r>
      <w:r w:rsidR="00B923CA">
        <w:t>,</w:t>
      </w:r>
      <w:r w:rsidRPr="00DC5617">
        <w:t xml:space="preserve"> </w:t>
      </w:r>
      <w:r>
        <w:t>jak również przekazywane ze</w:t>
      </w:r>
      <w:r w:rsidRPr="00DC5617">
        <w:t xml:space="preserve"> szkół integracyjnych w celu </w:t>
      </w:r>
      <w:r>
        <w:t xml:space="preserve">rozszerzenia </w:t>
      </w:r>
      <w:r w:rsidRPr="00DC5617">
        <w:t xml:space="preserve">współpracy między </w:t>
      </w:r>
      <w:r>
        <w:t xml:space="preserve">szkołami i </w:t>
      </w:r>
      <w:r w:rsidRPr="00DC5617">
        <w:t xml:space="preserve">placówkami specjalnymi </w:t>
      </w:r>
      <w:r>
        <w:t>a szkołami</w:t>
      </w:r>
      <w:r w:rsidRPr="00DC5617">
        <w:t xml:space="preserve"> ogólnodostępnymi.</w:t>
      </w:r>
    </w:p>
    <w:p w14:paraId="7B77B499" w14:textId="3E92DF20" w:rsidR="001F33B6" w:rsidRPr="00FD4327" w:rsidRDefault="004E3BEF" w:rsidP="001F33B6">
      <w:pPr>
        <w:pStyle w:val="Agency-heading-2"/>
      </w:pPr>
      <w:bookmarkStart w:id="21" w:name="_Toc71542600"/>
      <w:r w:rsidRPr="00FD4327">
        <w:t>Założenie</w:t>
      </w:r>
      <w:r w:rsidR="001F33B6" w:rsidRPr="00FD4327">
        <w:t xml:space="preserve"> 8</w:t>
      </w:r>
      <w:bookmarkEnd w:id="21"/>
      <w:r w:rsidR="00B923CA">
        <w:t>.</w:t>
      </w:r>
    </w:p>
    <w:bookmarkEnd w:id="19"/>
    <w:bookmarkEnd w:id="20"/>
    <w:p w14:paraId="371A5C83" w14:textId="29BFA394" w:rsidR="00FC5F58" w:rsidRPr="00DC5617" w:rsidRDefault="00DC5617" w:rsidP="00DC5617">
      <w:pPr>
        <w:pStyle w:val="Agency-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rPr>
      </w:pPr>
      <w:r w:rsidRPr="00DC5617">
        <w:rPr>
          <w:b/>
          <w:bCs/>
        </w:rPr>
        <w:t xml:space="preserve">Standardy i wskaźniki uzgodnione z </w:t>
      </w:r>
      <w:r>
        <w:rPr>
          <w:b/>
          <w:bCs/>
        </w:rPr>
        <w:t xml:space="preserve">interesariuszami </w:t>
      </w:r>
      <w:r w:rsidRPr="00DC5617">
        <w:rPr>
          <w:b/>
          <w:bCs/>
        </w:rPr>
        <w:t xml:space="preserve">będą stanowić podstawę procesu monitorowania i rozliczalności w całym systemie, który zapewnia wysoką jakość edukacji włączającej dla wszystkich </w:t>
      </w:r>
      <w:r>
        <w:rPr>
          <w:b/>
          <w:bCs/>
        </w:rPr>
        <w:t xml:space="preserve">osób </w:t>
      </w:r>
      <w:r w:rsidRPr="00DC5617">
        <w:rPr>
          <w:b/>
          <w:bCs/>
        </w:rPr>
        <w:t>uczących się. Standardy będą spójne we wszystkich ministerstwach i sektorach, a wszystkie zainteresowane strony wezmą odpowiedzialność za wszystki</w:t>
      </w:r>
      <w:r>
        <w:rPr>
          <w:b/>
          <w:bCs/>
        </w:rPr>
        <w:t>e osoby</w:t>
      </w:r>
      <w:r w:rsidRPr="00DC5617">
        <w:rPr>
          <w:b/>
          <w:bCs/>
        </w:rPr>
        <w:t xml:space="preserve"> ucząc</w:t>
      </w:r>
      <w:r>
        <w:rPr>
          <w:b/>
          <w:bCs/>
        </w:rPr>
        <w:t>e</w:t>
      </w:r>
      <w:r w:rsidRPr="00DC5617">
        <w:rPr>
          <w:b/>
          <w:bCs/>
        </w:rPr>
        <w:t xml:space="preserve"> się i będą rozliczane </w:t>
      </w:r>
      <w:r>
        <w:rPr>
          <w:b/>
          <w:bCs/>
        </w:rPr>
        <w:t xml:space="preserve">z podejmowanych </w:t>
      </w:r>
      <w:r w:rsidRPr="00DC5617">
        <w:rPr>
          <w:b/>
          <w:bCs/>
        </w:rPr>
        <w:t>działań.</w:t>
      </w:r>
    </w:p>
    <w:p w14:paraId="6F672CD1" w14:textId="3ABC135B" w:rsidR="00FC5F58" w:rsidRPr="00DC5617" w:rsidRDefault="00DC5617" w:rsidP="00AF57A7">
      <w:pPr>
        <w:pStyle w:val="Agency-body-text"/>
        <w:jc w:val="both"/>
        <w:rPr>
          <w:b/>
          <w:bCs/>
        </w:rPr>
      </w:pPr>
      <w:r w:rsidRPr="00DC5617">
        <w:rPr>
          <w:b/>
          <w:bCs/>
        </w:rPr>
        <w:t xml:space="preserve">Ramy zapewniania jakości mogą </w:t>
      </w:r>
      <w:r>
        <w:rPr>
          <w:b/>
          <w:bCs/>
        </w:rPr>
        <w:t>wzmacniać</w:t>
      </w:r>
      <w:r w:rsidR="00C417A0">
        <w:rPr>
          <w:b/>
          <w:bCs/>
        </w:rPr>
        <w:t xml:space="preserve"> wspólna wizję tego, jak powinna wyglądać </w:t>
      </w:r>
      <w:r>
        <w:rPr>
          <w:b/>
          <w:bCs/>
        </w:rPr>
        <w:t xml:space="preserve"> </w:t>
      </w:r>
      <w:r w:rsidRPr="00DC5617">
        <w:rPr>
          <w:b/>
          <w:bCs/>
        </w:rPr>
        <w:t>skuteczn</w:t>
      </w:r>
      <w:r w:rsidR="00C417A0">
        <w:rPr>
          <w:b/>
          <w:bCs/>
        </w:rPr>
        <w:t>a</w:t>
      </w:r>
      <w:r w:rsidRPr="00DC5617">
        <w:rPr>
          <w:b/>
          <w:bCs/>
        </w:rPr>
        <w:t xml:space="preserve"> praktyk</w:t>
      </w:r>
      <w:r w:rsidR="00C417A0">
        <w:rPr>
          <w:b/>
          <w:bCs/>
        </w:rPr>
        <w:t>a włączająca</w:t>
      </w:r>
      <w:r w:rsidRPr="00DC5617">
        <w:rPr>
          <w:b/>
          <w:bCs/>
        </w:rPr>
        <w:t>, dostarczać</w:t>
      </w:r>
      <w:r>
        <w:rPr>
          <w:b/>
          <w:bCs/>
        </w:rPr>
        <w:t xml:space="preserve"> wytycznych w zakresie </w:t>
      </w:r>
      <w:r w:rsidR="00C417A0">
        <w:rPr>
          <w:b/>
          <w:bCs/>
        </w:rPr>
        <w:t xml:space="preserve">jej </w:t>
      </w:r>
      <w:r>
        <w:rPr>
          <w:b/>
          <w:bCs/>
        </w:rPr>
        <w:t xml:space="preserve">wdrażania </w:t>
      </w:r>
      <w:r w:rsidRPr="00DC5617">
        <w:rPr>
          <w:b/>
          <w:bCs/>
        </w:rPr>
        <w:t xml:space="preserve">na wszystkich poziomach systemu oraz </w:t>
      </w:r>
      <w:r w:rsidR="00C417A0">
        <w:rPr>
          <w:b/>
          <w:bCs/>
        </w:rPr>
        <w:t>określać</w:t>
      </w:r>
      <w:r w:rsidR="00C417A0" w:rsidRPr="00DC5617">
        <w:rPr>
          <w:b/>
          <w:bCs/>
        </w:rPr>
        <w:t xml:space="preserve"> </w:t>
      </w:r>
      <w:r w:rsidRPr="00DC5617">
        <w:rPr>
          <w:b/>
          <w:bCs/>
        </w:rPr>
        <w:t xml:space="preserve">wskaźniki </w:t>
      </w:r>
      <w:r w:rsidR="00C417A0">
        <w:rPr>
          <w:b/>
          <w:bCs/>
        </w:rPr>
        <w:t>ewaluacji</w:t>
      </w:r>
      <w:r w:rsidR="00C417A0" w:rsidRPr="00DC5617">
        <w:rPr>
          <w:b/>
          <w:bCs/>
        </w:rPr>
        <w:t xml:space="preserve"> </w:t>
      </w:r>
      <w:r w:rsidR="00C417A0">
        <w:rPr>
          <w:b/>
          <w:bCs/>
        </w:rPr>
        <w:t xml:space="preserve">działań </w:t>
      </w:r>
      <w:r w:rsidRPr="00DC5617">
        <w:rPr>
          <w:b/>
          <w:bCs/>
        </w:rPr>
        <w:t xml:space="preserve">w edukacji i </w:t>
      </w:r>
      <w:r>
        <w:rPr>
          <w:b/>
          <w:bCs/>
        </w:rPr>
        <w:t xml:space="preserve">szerzej rozumianych </w:t>
      </w:r>
      <w:r w:rsidRPr="00DC5617">
        <w:rPr>
          <w:b/>
          <w:bCs/>
        </w:rPr>
        <w:t>usługach. Podczas opracowywania takich ram dyskusja między interesariuszami może zakwestionować założe</w:t>
      </w:r>
      <w:r>
        <w:rPr>
          <w:b/>
          <w:bCs/>
        </w:rPr>
        <w:t>nia</w:t>
      </w:r>
      <w:r w:rsidRPr="00DC5617">
        <w:rPr>
          <w:b/>
          <w:bCs/>
        </w:rPr>
        <w:t>, przekona</w:t>
      </w:r>
      <w:r>
        <w:rPr>
          <w:b/>
          <w:bCs/>
        </w:rPr>
        <w:t>nia</w:t>
      </w:r>
      <w:r w:rsidRPr="00DC5617">
        <w:rPr>
          <w:b/>
          <w:bCs/>
        </w:rPr>
        <w:t xml:space="preserve"> i wartości, </w:t>
      </w:r>
      <w:r w:rsidR="00AF57A7">
        <w:rPr>
          <w:b/>
          <w:bCs/>
        </w:rPr>
        <w:t xml:space="preserve">jak również wskazać </w:t>
      </w:r>
      <w:r w:rsidRPr="00DC5617">
        <w:rPr>
          <w:b/>
          <w:bCs/>
        </w:rPr>
        <w:t xml:space="preserve">priorytety i ocenić </w:t>
      </w:r>
      <w:r w:rsidR="00AF57A7">
        <w:rPr>
          <w:b/>
          <w:bCs/>
        </w:rPr>
        <w:t xml:space="preserve">dokonane </w:t>
      </w:r>
      <w:r w:rsidRPr="00DC5617">
        <w:rPr>
          <w:b/>
          <w:bCs/>
        </w:rPr>
        <w:t>postęp</w:t>
      </w:r>
      <w:r w:rsidR="00AF57A7">
        <w:rPr>
          <w:b/>
          <w:bCs/>
        </w:rPr>
        <w:t>y</w:t>
      </w:r>
      <w:r w:rsidRPr="00DC5617">
        <w:rPr>
          <w:b/>
          <w:bCs/>
        </w:rPr>
        <w:t xml:space="preserve"> (</w:t>
      </w:r>
      <w:r w:rsidR="00AF57A7">
        <w:rPr>
          <w:b/>
          <w:bCs/>
        </w:rPr>
        <w:t>European Agency</w:t>
      </w:r>
      <w:r w:rsidRPr="00DC5617">
        <w:rPr>
          <w:b/>
          <w:bCs/>
        </w:rPr>
        <w:t xml:space="preserve">, 2014a), a także wyjaśnić role, obowiązki i odpowiedzialność </w:t>
      </w:r>
      <w:r w:rsidR="00AF57A7">
        <w:rPr>
          <w:b/>
          <w:bCs/>
        </w:rPr>
        <w:t xml:space="preserve">społeczną </w:t>
      </w:r>
      <w:r w:rsidRPr="00DC5617">
        <w:rPr>
          <w:b/>
          <w:bCs/>
        </w:rPr>
        <w:t>interesariuszy.</w:t>
      </w:r>
    </w:p>
    <w:p w14:paraId="1C6B0D8E" w14:textId="0ABDA914" w:rsidR="00AF57A7" w:rsidRPr="00AF57A7" w:rsidRDefault="00AF57A7" w:rsidP="00AF57A7">
      <w:pPr>
        <w:pStyle w:val="Agency-body-text"/>
        <w:jc w:val="both"/>
      </w:pPr>
      <w:r>
        <w:t xml:space="preserve">Rozliczalność </w:t>
      </w:r>
      <w:r w:rsidRPr="00AF57A7">
        <w:t xml:space="preserve">można zdefiniować jako zarządzanie różnorodnymi oczekiwaniami generowanymi wewnątrz i na zewnątrz organizacji, które podkreślają obawy społeczne, naciski polityczne, </w:t>
      </w:r>
      <w:r>
        <w:t>przeszkody administracyjne</w:t>
      </w:r>
      <w:r w:rsidRPr="00AF57A7">
        <w:t xml:space="preserve">, zarządzanie odgórne, reakcje na dynamikę rynku, odpowiedzialność zawodową i zasady etyczne (Koren, 2013). Potrzebne są szeroko zakrojone konsultacje, aby wspólnie uzgodnić kluczowe </w:t>
      </w:r>
      <w:r w:rsidR="00304DC1">
        <w:t xml:space="preserve">rezultaty </w:t>
      </w:r>
      <w:r w:rsidRPr="00AF57A7">
        <w:t xml:space="preserve">dla osób uczących się w systemie edukacji, aby wyjaśnić oczekiwania liderów, nauczycieli i profesjonalistów z innych sektorów, rodziców, osób uczących się i innych </w:t>
      </w:r>
      <w:r w:rsidR="00304DC1">
        <w:t xml:space="preserve">społecznych </w:t>
      </w:r>
      <w:r w:rsidRPr="00AF57A7">
        <w:t>interesariuszy.</w:t>
      </w:r>
    </w:p>
    <w:p w14:paraId="63B0147D" w14:textId="290C10A0" w:rsidR="004F50FE" w:rsidRDefault="00AF57A7" w:rsidP="005C5493">
      <w:pPr>
        <w:pStyle w:val="Agency-body-text"/>
        <w:jc w:val="both"/>
      </w:pPr>
      <w:r w:rsidRPr="00AF57A7">
        <w:t>Taki model będzie wspierał</w:t>
      </w:r>
      <w:r>
        <w:t xml:space="preserve"> koncepcję</w:t>
      </w:r>
      <w:r w:rsidRPr="00AF57A7">
        <w:t xml:space="preserve">, </w:t>
      </w:r>
      <w:r>
        <w:t xml:space="preserve">że rozliczalność nie jest narzucana z zewnątrz, ale </w:t>
      </w:r>
      <w:r w:rsidRPr="00AF57A7">
        <w:t>leży w gestii interesariuszy</w:t>
      </w:r>
      <w:r>
        <w:t xml:space="preserve">. </w:t>
      </w:r>
      <w:r w:rsidRPr="00AF57A7">
        <w:t xml:space="preserve">Gilbert (2012) zauważa, że </w:t>
      </w:r>
      <w:r w:rsidR="005C5493">
        <w:t xml:space="preserve">stosowne przez szkoły praktyki w zakresie ich rozliczalności </w:t>
      </w:r>
      <w:r w:rsidRPr="00AF57A7">
        <w:t>wymaga</w:t>
      </w:r>
      <w:r w:rsidR="005C5493">
        <w:t>ją</w:t>
      </w:r>
      <w:r w:rsidR="004F50FE">
        <w:t>:</w:t>
      </w:r>
    </w:p>
    <w:p w14:paraId="71A786E0" w14:textId="71313CE8" w:rsidR="005C5493" w:rsidRPr="005C5493" w:rsidRDefault="005C5493" w:rsidP="005C5493">
      <w:pPr>
        <w:pStyle w:val="Agency-body-text"/>
        <w:numPr>
          <w:ilvl w:val="0"/>
          <w:numId w:val="21"/>
        </w:numPr>
        <w:jc w:val="both"/>
      </w:pPr>
      <w:r w:rsidRPr="005C5493">
        <w:lastRenderedPageBreak/>
        <w:t>większ</w:t>
      </w:r>
      <w:r>
        <w:t>ego</w:t>
      </w:r>
      <w:r w:rsidRPr="005C5493">
        <w:t xml:space="preserve"> </w:t>
      </w:r>
      <w:r>
        <w:t xml:space="preserve">poczucia </w:t>
      </w:r>
      <w:r w:rsidRPr="005C5493">
        <w:t>odpowiedzialnoś</w:t>
      </w:r>
      <w:r>
        <w:t>ci</w:t>
      </w:r>
      <w:r w:rsidRPr="005C5493">
        <w:t xml:space="preserve"> nauczycieli i szkół za</w:t>
      </w:r>
      <w:r>
        <w:t xml:space="preserve"> rozliczalność</w:t>
      </w:r>
      <w:r w:rsidRPr="005C5493">
        <w:t xml:space="preserve">, by wspierać ich profesjonalizm i </w:t>
      </w:r>
      <w:r>
        <w:t xml:space="preserve">proces </w:t>
      </w:r>
      <w:r w:rsidRPr="005C5493">
        <w:t>uczeni</w:t>
      </w:r>
      <w:r>
        <w:t>a</w:t>
      </w:r>
      <w:r w:rsidRPr="005C5493">
        <w:t xml:space="preserve"> się uczniów,</w:t>
      </w:r>
    </w:p>
    <w:p w14:paraId="42EE450C" w14:textId="7BBC4C6F" w:rsidR="005C5493" w:rsidRPr="005C5493" w:rsidRDefault="005C5493" w:rsidP="005C5493">
      <w:pPr>
        <w:pStyle w:val="Agency-body-text"/>
        <w:numPr>
          <w:ilvl w:val="0"/>
          <w:numId w:val="21"/>
        </w:numPr>
        <w:jc w:val="both"/>
      </w:pPr>
      <w:r w:rsidRPr="005C5493">
        <w:t>dynamiczn</w:t>
      </w:r>
      <w:r>
        <w:t xml:space="preserve">ej, opartej na praktyce włączającej, </w:t>
      </w:r>
      <w:r w:rsidRPr="005C5493">
        <w:t>ewaluacj</w:t>
      </w:r>
      <w:r>
        <w:t>i</w:t>
      </w:r>
      <w:r w:rsidRPr="005C5493">
        <w:t xml:space="preserve"> szkoły, w której uczestniczą uczniowie, rodzice, pracownicy, </w:t>
      </w:r>
      <w:r>
        <w:t xml:space="preserve">władze </w:t>
      </w:r>
      <w:r w:rsidRPr="005C5493">
        <w:t>i społeczność</w:t>
      </w:r>
      <w:r w:rsidR="001756AD">
        <w:t xml:space="preserve"> lokalna</w:t>
      </w:r>
      <w:r w:rsidRPr="005C5493">
        <w:t xml:space="preserve">, co ma prowadzić do </w:t>
      </w:r>
      <w:r>
        <w:t xml:space="preserve">doskonalenia stosowanych </w:t>
      </w:r>
      <w:r w:rsidRPr="005C5493">
        <w:t>praktyk,</w:t>
      </w:r>
    </w:p>
    <w:p w14:paraId="49DBB8FF" w14:textId="49CC67E7" w:rsidR="005C5493" w:rsidRPr="005C5493" w:rsidRDefault="005C5493" w:rsidP="005C5493">
      <w:pPr>
        <w:pStyle w:val="Agency-body-text"/>
        <w:numPr>
          <w:ilvl w:val="0"/>
          <w:numId w:val="21"/>
        </w:numPr>
        <w:jc w:val="both"/>
      </w:pPr>
      <w:r w:rsidRPr="005C5493">
        <w:t>kultur</w:t>
      </w:r>
      <w:r>
        <w:t>y</w:t>
      </w:r>
      <w:r w:rsidRPr="005C5493">
        <w:t xml:space="preserve"> refleksji zawodowej, dociekań i uczenia się </w:t>
      </w:r>
      <w:r>
        <w:t xml:space="preserve">zarówno </w:t>
      </w:r>
      <w:r w:rsidRPr="005C5493">
        <w:t xml:space="preserve">w obrębie </w:t>
      </w:r>
      <w:r>
        <w:t xml:space="preserve">danej </w:t>
      </w:r>
      <w:r w:rsidRPr="005C5493">
        <w:t>szkoły</w:t>
      </w:r>
      <w:r w:rsidR="00C417A0">
        <w:t>,</w:t>
      </w:r>
      <w:r w:rsidRPr="005C5493">
        <w:t xml:space="preserve"> </w:t>
      </w:r>
      <w:r>
        <w:t xml:space="preserve">jak </w:t>
      </w:r>
      <w:r w:rsidRPr="005C5493">
        <w:t xml:space="preserve">i między </w:t>
      </w:r>
      <w:r>
        <w:t xml:space="preserve">placówkami </w:t>
      </w:r>
      <w:r w:rsidRPr="005C5493">
        <w:t xml:space="preserve">w celu podnoszenia aspiracji nauczycieli i doskonalenia </w:t>
      </w:r>
      <w:r>
        <w:t xml:space="preserve">ich </w:t>
      </w:r>
      <w:r w:rsidRPr="005C5493">
        <w:t xml:space="preserve">praktyki, </w:t>
      </w:r>
    </w:p>
    <w:p w14:paraId="0D54EE19" w14:textId="2FFD9A39" w:rsidR="005C5493" w:rsidRPr="005C5493" w:rsidRDefault="005C5493" w:rsidP="005C5493">
      <w:pPr>
        <w:pStyle w:val="Agency-body-text"/>
        <w:numPr>
          <w:ilvl w:val="0"/>
          <w:numId w:val="21"/>
        </w:numPr>
        <w:jc w:val="both"/>
      </w:pPr>
      <w:r w:rsidRPr="005C5493">
        <w:t>współprac</w:t>
      </w:r>
      <w:r>
        <w:t>y</w:t>
      </w:r>
      <w:r w:rsidRPr="005C5493">
        <w:t xml:space="preserve"> w obrębie </w:t>
      </w:r>
      <w:r>
        <w:t xml:space="preserve">danej </w:t>
      </w:r>
      <w:r w:rsidRPr="005C5493">
        <w:t xml:space="preserve">szkoły </w:t>
      </w:r>
      <w:r>
        <w:t xml:space="preserve">jak </w:t>
      </w:r>
      <w:r w:rsidRPr="005C5493">
        <w:t xml:space="preserve">i między </w:t>
      </w:r>
      <w:r>
        <w:t xml:space="preserve">placówkami postrzeganej </w:t>
      </w:r>
      <w:r w:rsidRPr="005C5493">
        <w:t>jako skuteczne narzędzi</w:t>
      </w:r>
      <w:r>
        <w:t xml:space="preserve">a </w:t>
      </w:r>
      <w:r w:rsidRPr="005C5493">
        <w:t>doskonalenia,</w:t>
      </w:r>
    </w:p>
    <w:p w14:paraId="0E3EF84C" w14:textId="0A5CF784" w:rsidR="005C5493" w:rsidRPr="005C5493" w:rsidRDefault="005C5493" w:rsidP="005C5493">
      <w:pPr>
        <w:pStyle w:val="Agency-body-text"/>
        <w:numPr>
          <w:ilvl w:val="0"/>
          <w:numId w:val="21"/>
        </w:numPr>
        <w:jc w:val="both"/>
      </w:pPr>
      <w:r>
        <w:t xml:space="preserve">istnienia </w:t>
      </w:r>
      <w:r w:rsidRPr="005C5493">
        <w:t xml:space="preserve">sieci szkół, które angażują wszystkie </w:t>
      </w:r>
      <w:r>
        <w:t xml:space="preserve">placówki </w:t>
      </w:r>
      <w:r w:rsidRPr="005C5493">
        <w:t xml:space="preserve">w celu zwiększenia </w:t>
      </w:r>
      <w:r>
        <w:t xml:space="preserve">ich </w:t>
      </w:r>
      <w:r w:rsidRPr="005C5493">
        <w:t xml:space="preserve">potencjału, </w:t>
      </w:r>
    </w:p>
    <w:p w14:paraId="12DF39A2" w14:textId="046188CB" w:rsidR="005C5493" w:rsidRPr="005C5493" w:rsidRDefault="005C5493" w:rsidP="005C5493">
      <w:pPr>
        <w:pStyle w:val="Agency-body-text"/>
        <w:numPr>
          <w:ilvl w:val="0"/>
          <w:numId w:val="21"/>
        </w:numPr>
        <w:jc w:val="both"/>
      </w:pPr>
      <w:r w:rsidRPr="005C5493">
        <w:t>ukierunkowan</w:t>
      </w:r>
      <w:r>
        <w:t>ych</w:t>
      </w:r>
      <w:r w:rsidRPr="005C5493">
        <w:t xml:space="preserve"> </w:t>
      </w:r>
      <w:r w:rsidR="00C417A0">
        <w:t>kontroli</w:t>
      </w:r>
      <w:r w:rsidRPr="005C5493">
        <w:t xml:space="preserve">, które wspierają politykę i </w:t>
      </w:r>
      <w:r>
        <w:t xml:space="preserve">stosowaną przez szkoły </w:t>
      </w:r>
      <w:r w:rsidRPr="005C5493">
        <w:t>praktykę w zakresie rozliczalności.</w:t>
      </w:r>
    </w:p>
    <w:p w14:paraId="7E4270D8" w14:textId="2CC98546" w:rsidR="005C5493" w:rsidRPr="005C5493" w:rsidRDefault="005A030C" w:rsidP="005A030C">
      <w:pPr>
        <w:pStyle w:val="Agency-body-text"/>
        <w:jc w:val="both"/>
      </w:pPr>
      <w:r w:rsidRPr="005A030C">
        <w:t xml:space="preserve">Rozliczalność </w:t>
      </w:r>
      <w:r w:rsidR="005C5493" w:rsidRPr="005A030C">
        <w:t>za stymulowanie poprawy powinna uwzględniać wkład (np. zasoby, wsparcie), struktury, procesy i wyniki oraz relacje</w:t>
      </w:r>
      <w:r w:rsidR="001756AD">
        <w:t>,</w:t>
      </w:r>
      <w:r w:rsidR="005C5493" w:rsidRPr="005A030C">
        <w:t xml:space="preserve"> </w:t>
      </w:r>
      <w:r w:rsidRPr="005A030C">
        <w:t xml:space="preserve">jakie zachodzą między tymi elementami. </w:t>
      </w:r>
      <w:r w:rsidR="005C5493" w:rsidRPr="005C5493">
        <w:t xml:space="preserve">Powinna wykorzystywać </w:t>
      </w:r>
      <w:r>
        <w:t xml:space="preserve">różnorodne </w:t>
      </w:r>
      <w:r w:rsidR="005C5493" w:rsidRPr="005C5493">
        <w:t>źródł</w:t>
      </w:r>
      <w:r>
        <w:t>a</w:t>
      </w:r>
      <w:r w:rsidR="005C5493" w:rsidRPr="005C5493">
        <w:t xml:space="preserve"> informacji w celu monitorowania zarówno jakości, jak i </w:t>
      </w:r>
      <w:r>
        <w:t>za</w:t>
      </w:r>
      <w:r w:rsidR="00C417A0">
        <w:t>pewnienia</w:t>
      </w:r>
      <w:r>
        <w:t xml:space="preserve"> </w:t>
      </w:r>
      <w:r w:rsidR="005C5493" w:rsidRPr="005C5493">
        <w:t>równości szans edukacyjnych oraz</w:t>
      </w:r>
      <w:r>
        <w:t xml:space="preserve"> wykorzystywać zebrane dane w celu dalszej poprawy</w:t>
      </w:r>
      <w:r w:rsidR="005C5493" w:rsidRPr="005C5493">
        <w:t>.</w:t>
      </w:r>
    </w:p>
    <w:p w14:paraId="20B03FF0" w14:textId="5BAC9061" w:rsidR="00764817" w:rsidRPr="005A030C" w:rsidRDefault="005C5493" w:rsidP="005A030C">
      <w:pPr>
        <w:pStyle w:val="Agency-body-text"/>
        <w:jc w:val="both"/>
      </w:pPr>
      <w:r w:rsidRPr="005C5493">
        <w:t>Przejrzystość ma zasadnicze znaczenie w każdym systemie</w:t>
      </w:r>
      <w:r w:rsidR="005A030C">
        <w:t xml:space="preserve"> rozliczalności</w:t>
      </w:r>
      <w:r w:rsidRPr="005C5493">
        <w:t>, który musi jasno określać cel, w jakim informacje i dane są wykorzystywane w ramach dobrze skoordynowanego i łatwego do zarządzania systemu</w:t>
      </w:r>
      <w:r w:rsidR="00C417A0">
        <w:t>,</w:t>
      </w:r>
      <w:r w:rsidRPr="005C5493">
        <w:t xml:space="preserve"> odzwierciedlającego </w:t>
      </w:r>
      <w:r w:rsidR="005A030C">
        <w:t xml:space="preserve">osiągane </w:t>
      </w:r>
      <w:r w:rsidRPr="005C5493">
        <w:t>wyniki i</w:t>
      </w:r>
      <w:r w:rsidR="001756AD">
        <w:t xml:space="preserve"> wprowadzane udoskonalenia</w:t>
      </w:r>
      <w:r w:rsidRPr="005C5493">
        <w:t xml:space="preserve">. </w:t>
      </w:r>
      <w:r w:rsidRPr="005A030C">
        <w:rPr>
          <w:i/>
          <w:iCs/>
        </w:rPr>
        <w:t xml:space="preserve">Ważne jest, by szkoły, systemy </w:t>
      </w:r>
      <w:r w:rsidR="005A030C" w:rsidRPr="005A030C">
        <w:rPr>
          <w:i/>
          <w:iCs/>
        </w:rPr>
        <w:t xml:space="preserve">szkolnictwa </w:t>
      </w:r>
      <w:r w:rsidR="001756AD">
        <w:rPr>
          <w:i/>
          <w:iCs/>
        </w:rPr>
        <w:t>oraz</w:t>
      </w:r>
      <w:r w:rsidRPr="005A030C">
        <w:rPr>
          <w:i/>
          <w:iCs/>
        </w:rPr>
        <w:t xml:space="preserve"> </w:t>
      </w:r>
      <w:r w:rsidR="005A030C" w:rsidRPr="005A030C">
        <w:rPr>
          <w:i/>
          <w:iCs/>
        </w:rPr>
        <w:t xml:space="preserve">rządy </w:t>
      </w:r>
      <w:r w:rsidRPr="005A030C">
        <w:rPr>
          <w:i/>
          <w:iCs/>
        </w:rPr>
        <w:t xml:space="preserve">opracowały i stosowały procesy rozliczania, które promują cele, </w:t>
      </w:r>
      <w:r w:rsidR="005A030C" w:rsidRPr="005A030C">
        <w:rPr>
          <w:i/>
          <w:iCs/>
        </w:rPr>
        <w:t xml:space="preserve">jakie </w:t>
      </w:r>
      <w:r w:rsidRPr="005A030C">
        <w:rPr>
          <w:i/>
          <w:iCs/>
        </w:rPr>
        <w:t xml:space="preserve">chcą osiągnąć, </w:t>
      </w:r>
      <w:r w:rsidR="005A030C" w:rsidRPr="005A030C">
        <w:rPr>
          <w:i/>
          <w:iCs/>
        </w:rPr>
        <w:t xml:space="preserve">gdyż </w:t>
      </w:r>
      <w:r w:rsidRPr="005A030C">
        <w:rPr>
          <w:i/>
          <w:iCs/>
        </w:rPr>
        <w:t xml:space="preserve">procesy te mogą być silnym bodźcem wpływającym na </w:t>
      </w:r>
      <w:r w:rsidR="005A030C" w:rsidRPr="005A030C">
        <w:rPr>
          <w:i/>
          <w:iCs/>
        </w:rPr>
        <w:t xml:space="preserve">określenie nakładu </w:t>
      </w:r>
      <w:r w:rsidRPr="005A030C">
        <w:rPr>
          <w:i/>
          <w:iCs/>
        </w:rPr>
        <w:t>czasu, energii, zasobów finansowych i zawodowych</w:t>
      </w:r>
      <w:r w:rsidRPr="005C5493">
        <w:t xml:space="preserve"> </w:t>
      </w:r>
      <w:r w:rsidR="00FC5F58" w:rsidRPr="005A030C">
        <w:t xml:space="preserve">(Barrett 2014, </w:t>
      </w:r>
      <w:r w:rsidR="001177BB" w:rsidRPr="005A030C">
        <w:t>str.</w:t>
      </w:r>
      <w:r w:rsidR="00FC5F58" w:rsidRPr="005A030C">
        <w:t xml:space="preserve"> </w:t>
      </w:r>
      <w:r w:rsidR="005420D0" w:rsidRPr="005A030C">
        <w:t>85).</w:t>
      </w:r>
    </w:p>
    <w:p w14:paraId="464ADEBD" w14:textId="5A7EA7C1" w:rsidR="00E36ED5" w:rsidRPr="005A030C" w:rsidRDefault="005A030C" w:rsidP="001756AD">
      <w:pPr>
        <w:pStyle w:val="Agency-body-text"/>
        <w:jc w:val="both"/>
        <w:rPr>
          <w:i/>
          <w:iCs/>
        </w:rPr>
      </w:pPr>
      <w:r w:rsidRPr="002747D3">
        <w:t>Wynika z tego, że system, który postrzega każdego ucznia w sposób bardziej holistyczny, będzie wymagał bardziej wszechstronnego zestawu wskaźników jakości.</w:t>
      </w:r>
      <w:r w:rsidR="002747D3" w:rsidRPr="002747D3">
        <w:t xml:space="preserve"> Takie podejście b</w:t>
      </w:r>
      <w:r w:rsidRPr="002747D3">
        <w:t>ędzie wymagało wykorzystania informacji ilościowych, uzupełnionych przeglądami, które dostarczają informacji jakościowych o szkołach</w:t>
      </w:r>
      <w:r w:rsidRPr="005A030C">
        <w:rPr>
          <w:i/>
          <w:iCs/>
        </w:rPr>
        <w:t xml:space="preserve">. </w:t>
      </w:r>
      <w:r w:rsidR="002747D3" w:rsidRPr="002747D3">
        <w:t xml:space="preserve">Autorzy dokumentu </w:t>
      </w:r>
      <w:r w:rsidRPr="002747D3">
        <w:t>UNESCO (2017) zauważa</w:t>
      </w:r>
      <w:r w:rsidR="002747D3" w:rsidRPr="002747D3">
        <w:t>ją, że</w:t>
      </w:r>
      <w:r w:rsidRPr="005A030C">
        <w:rPr>
          <w:i/>
          <w:iCs/>
        </w:rPr>
        <w:t xml:space="preserve">: W krajach o wąsko pojmowanych kryteriach definiowania sukcesu, mechanizmy monitorowania mogą utrudniać rozwój bardziej </w:t>
      </w:r>
      <w:r w:rsidR="002747D3">
        <w:rPr>
          <w:i/>
          <w:iCs/>
        </w:rPr>
        <w:t xml:space="preserve">włączającego </w:t>
      </w:r>
      <w:r w:rsidRPr="005A030C">
        <w:rPr>
          <w:i/>
          <w:iCs/>
        </w:rPr>
        <w:t xml:space="preserve">systemu edukacji. Dobrze funkcjonujący system edukacji wymaga </w:t>
      </w:r>
      <w:r w:rsidR="002747D3">
        <w:rPr>
          <w:i/>
          <w:iCs/>
        </w:rPr>
        <w:t xml:space="preserve">realizacji </w:t>
      </w:r>
      <w:r w:rsidRPr="005A030C">
        <w:rPr>
          <w:i/>
          <w:iCs/>
        </w:rPr>
        <w:t>polityki, która koncentruje się na uczestnictwie i osiągnięciach wszystkich</w:t>
      </w:r>
      <w:r w:rsidR="002747D3">
        <w:rPr>
          <w:i/>
          <w:iCs/>
        </w:rPr>
        <w:t xml:space="preserve"> osób</w:t>
      </w:r>
      <w:r w:rsidRPr="005A030C">
        <w:rPr>
          <w:i/>
          <w:iCs/>
        </w:rPr>
        <w:t xml:space="preserve"> uczących się </w:t>
      </w:r>
      <w:r w:rsidR="009E199E" w:rsidRPr="005A030C">
        <w:rPr>
          <w:iCs/>
        </w:rPr>
        <w:t>(</w:t>
      </w:r>
      <w:r w:rsidR="001177BB" w:rsidRPr="005A030C">
        <w:rPr>
          <w:iCs/>
        </w:rPr>
        <w:t>str.</w:t>
      </w:r>
      <w:r w:rsidR="008E2739" w:rsidRPr="005A030C">
        <w:rPr>
          <w:iCs/>
        </w:rPr>
        <w:t xml:space="preserve"> </w:t>
      </w:r>
      <w:r w:rsidR="008B5D08" w:rsidRPr="005A030C">
        <w:rPr>
          <w:iCs/>
        </w:rPr>
        <w:t>21</w:t>
      </w:r>
      <w:r w:rsidR="009E199E" w:rsidRPr="005A030C">
        <w:rPr>
          <w:iCs/>
        </w:rPr>
        <w:t>).</w:t>
      </w:r>
    </w:p>
    <w:p w14:paraId="55B5CED0" w14:textId="4A74B5F8" w:rsidR="002747D3" w:rsidRPr="002747D3" w:rsidRDefault="002747D3" w:rsidP="00333B0F">
      <w:pPr>
        <w:pStyle w:val="Agency-body-text"/>
        <w:jc w:val="both"/>
      </w:pPr>
      <w:r w:rsidRPr="002747D3">
        <w:t xml:space="preserve">Oprócz pomiaru umiejętności i kompetencji potrzebnych do odniesienia sukcesu w szkole i w przyszłym życiu </w:t>
      </w:r>
      <w:r>
        <w:t xml:space="preserve">osób </w:t>
      </w:r>
      <w:r w:rsidRPr="002747D3">
        <w:t xml:space="preserve">uczących się, należy także uwzględnić dokładne i rzetelne dane o zasobach i innych nakładach, strukturach </w:t>
      </w:r>
      <w:r>
        <w:t>oraz</w:t>
      </w:r>
      <w:r w:rsidRPr="002747D3">
        <w:t xml:space="preserve"> procesach, które ostatecznie wpływ</w:t>
      </w:r>
      <w:r>
        <w:t>ają</w:t>
      </w:r>
      <w:r w:rsidRPr="002747D3">
        <w:t xml:space="preserve"> na </w:t>
      </w:r>
      <w:r>
        <w:t xml:space="preserve">proces </w:t>
      </w:r>
      <w:r w:rsidRPr="002747D3">
        <w:t>uczeni</w:t>
      </w:r>
      <w:r>
        <w:t>a</w:t>
      </w:r>
      <w:r w:rsidRPr="002747D3">
        <w:t xml:space="preserve"> się. Dane takie są szczególnie ważne w odniesieniu do doświadczeń grup mniejszościowych i osób potencjalnie </w:t>
      </w:r>
      <w:r>
        <w:t xml:space="preserve">podatnych </w:t>
      </w:r>
      <w:r w:rsidRPr="002747D3">
        <w:t xml:space="preserve">na </w:t>
      </w:r>
      <w:r>
        <w:t xml:space="preserve">osiąganie </w:t>
      </w:r>
      <w:r w:rsidRPr="002747D3">
        <w:t>słab</w:t>
      </w:r>
      <w:r>
        <w:t>ych</w:t>
      </w:r>
      <w:r w:rsidRPr="002747D3">
        <w:t xml:space="preserve"> wynik</w:t>
      </w:r>
      <w:r>
        <w:t>ów w nauce</w:t>
      </w:r>
      <w:r w:rsidRPr="002747D3">
        <w:t xml:space="preserve">. </w:t>
      </w:r>
    </w:p>
    <w:p w14:paraId="55F0B0C5" w14:textId="03BAA8AB" w:rsidR="002747D3" w:rsidRPr="002747D3" w:rsidRDefault="002747D3" w:rsidP="00333B0F">
      <w:pPr>
        <w:pStyle w:val="Agency-body-text"/>
        <w:jc w:val="both"/>
      </w:pPr>
      <w:r w:rsidRPr="002747D3">
        <w:t xml:space="preserve">Nakłady i zasoby </w:t>
      </w:r>
      <w:r>
        <w:t xml:space="preserve">przekazywane </w:t>
      </w:r>
      <w:r w:rsidRPr="002747D3">
        <w:t>szk</w:t>
      </w:r>
      <w:r>
        <w:t>ołom</w:t>
      </w:r>
      <w:r w:rsidRPr="002747D3">
        <w:t xml:space="preserve"> mogłyby być powiązane z wynikami</w:t>
      </w:r>
      <w:r w:rsidR="00333B0F">
        <w:t xml:space="preserve"> posiadającymi </w:t>
      </w:r>
      <w:r w:rsidRPr="002747D3">
        <w:t>wartoś</w:t>
      </w:r>
      <w:r w:rsidR="00333B0F">
        <w:t>ć</w:t>
      </w:r>
      <w:r w:rsidRPr="002747D3">
        <w:t xml:space="preserve"> dodan</w:t>
      </w:r>
      <w:r w:rsidR="00333B0F">
        <w:t>ą</w:t>
      </w:r>
      <w:r w:rsidRPr="002747D3">
        <w:t xml:space="preserve"> (pomiar skorygowany, by uwzględnić </w:t>
      </w:r>
      <w:r w:rsidR="00333B0F">
        <w:t xml:space="preserve">bazowe </w:t>
      </w:r>
      <w:r w:rsidRPr="002747D3">
        <w:t xml:space="preserve">poziomy </w:t>
      </w:r>
      <w:r w:rsidR="00333B0F">
        <w:t xml:space="preserve">referencyjne w zakresie </w:t>
      </w:r>
      <w:r w:rsidRPr="002747D3">
        <w:t xml:space="preserve">osiągnięć uczniów), tak by szkoły były rozliczane </w:t>
      </w:r>
      <w:r w:rsidR="00333B0F">
        <w:t xml:space="preserve">z </w:t>
      </w:r>
      <w:r w:rsidRPr="002747D3">
        <w:t>wpływu</w:t>
      </w:r>
      <w:r w:rsidR="00333B0F">
        <w:t xml:space="preserve">, jaki wywierają na proces </w:t>
      </w:r>
      <w:r w:rsidRPr="002747D3">
        <w:lastRenderedPageBreak/>
        <w:t>uczeni</w:t>
      </w:r>
      <w:r w:rsidR="001756AD">
        <w:t>a</w:t>
      </w:r>
      <w:r w:rsidRPr="002747D3">
        <w:t xml:space="preserve"> się, a nie z wpływu wcześniejszych doświadczeń życiowych</w:t>
      </w:r>
      <w:r w:rsidR="00333B0F">
        <w:t xml:space="preserve"> uczniów bądź ich pobytów w innych placówkach, </w:t>
      </w:r>
      <w:r w:rsidRPr="002747D3">
        <w:t>itp.</w:t>
      </w:r>
    </w:p>
    <w:p w14:paraId="28C22763" w14:textId="4A0AAABE" w:rsidR="0023468E" w:rsidRDefault="00346CDA" w:rsidP="00385B0F">
      <w:pPr>
        <w:pStyle w:val="Agency-body-text"/>
        <w:jc w:val="both"/>
      </w:pPr>
      <w:r w:rsidRPr="00346CDA">
        <w:t xml:space="preserve">Analiza danych powinna uwzględniać dostęp i uczestnictwo w pełnym zakresie możliwości oraz postępy i osiągnięcia we wszystkich obszarach </w:t>
      </w:r>
      <w:r w:rsidR="001F6942">
        <w:t>uczenia się</w:t>
      </w:r>
      <w:r w:rsidRPr="00346CDA">
        <w:t>. Obejmuje to informacje na temat</w:t>
      </w:r>
      <w:r w:rsidR="0023468E">
        <w:t>:</w:t>
      </w:r>
    </w:p>
    <w:p w14:paraId="0A188C64" w14:textId="31215574" w:rsidR="00346CDA" w:rsidRPr="00346CDA" w:rsidRDefault="00346CDA" w:rsidP="001756AD">
      <w:pPr>
        <w:pStyle w:val="Agency-body-text"/>
        <w:numPr>
          <w:ilvl w:val="0"/>
          <w:numId w:val="30"/>
        </w:numPr>
        <w:jc w:val="both"/>
      </w:pPr>
      <w:r w:rsidRPr="00346CDA">
        <w:t>te</w:t>
      </w:r>
      <w:r>
        <w:t xml:space="preserve">go, </w:t>
      </w:r>
      <w:r w:rsidRPr="00346CDA">
        <w:t>któr</w:t>
      </w:r>
      <w:r w:rsidR="00353B64">
        <w:t>zy uczniowie</w:t>
      </w:r>
      <w:r w:rsidRPr="00346CDA">
        <w:t xml:space="preserve"> otrzymują </w:t>
      </w:r>
      <w:r>
        <w:t xml:space="preserve">dostęp do </w:t>
      </w:r>
      <w:r w:rsidRPr="00346CDA">
        <w:t>jaki</w:t>
      </w:r>
      <w:r>
        <w:t>ch</w:t>
      </w:r>
      <w:r w:rsidRPr="00346CDA">
        <w:t xml:space="preserve"> usług, a także kiedy</w:t>
      </w:r>
      <w:r w:rsidR="001756AD">
        <w:t>,</w:t>
      </w:r>
      <w:r>
        <w:t xml:space="preserve"> w jakim czasie </w:t>
      </w:r>
      <w:r w:rsidRPr="00346CDA">
        <w:t>i</w:t>
      </w:r>
      <w:r>
        <w:t xml:space="preserve"> miejscu</w:t>
      </w:r>
      <w:r w:rsidRPr="00346CDA">
        <w:t xml:space="preserve">, </w:t>
      </w:r>
      <w:r>
        <w:t>zapewniając</w:t>
      </w:r>
      <w:r w:rsidRPr="00346CDA">
        <w:t>, że wszystkie osoby uczące się są</w:t>
      </w:r>
      <w:r>
        <w:t xml:space="preserve"> brane pod uwagę</w:t>
      </w:r>
      <w:r w:rsidRPr="00346CDA">
        <w:t xml:space="preserve">, </w:t>
      </w:r>
    </w:p>
    <w:p w14:paraId="4298B7D9" w14:textId="71FC4270" w:rsidR="00346CDA" w:rsidRPr="00346CDA" w:rsidRDefault="00346CDA" w:rsidP="001756AD">
      <w:pPr>
        <w:pStyle w:val="Agency-body-text"/>
        <w:numPr>
          <w:ilvl w:val="0"/>
          <w:numId w:val="30"/>
        </w:numPr>
        <w:jc w:val="both"/>
      </w:pPr>
      <w:r w:rsidRPr="00346CDA">
        <w:t>jakoś</w:t>
      </w:r>
      <w:r>
        <w:t>ci</w:t>
      </w:r>
      <w:r w:rsidRPr="00346CDA">
        <w:t xml:space="preserve"> usług i </w:t>
      </w:r>
      <w:r>
        <w:t xml:space="preserve">osiągniętych dzięki nim rezultatów </w:t>
      </w:r>
      <w:r w:rsidRPr="00346CDA">
        <w:t xml:space="preserve">(unikanie klasyfikowania, kategoryzowania i etykietowania </w:t>
      </w:r>
      <w:r>
        <w:t xml:space="preserve">osób </w:t>
      </w:r>
      <w:r w:rsidRPr="00346CDA">
        <w:t>uczących się w celu dostarczenia informacji na temat otrzymywan</w:t>
      </w:r>
      <w:r w:rsidR="001F6942">
        <w:t>ego</w:t>
      </w:r>
      <w:r w:rsidRPr="00346CDA">
        <w:t xml:space="preserve"> przez nie </w:t>
      </w:r>
      <w:r w:rsidR="001F6942">
        <w:t>wsparcia</w:t>
      </w:r>
      <w:r w:rsidRPr="00346CDA">
        <w:t>).</w:t>
      </w:r>
    </w:p>
    <w:p w14:paraId="7A2B75EE" w14:textId="7A44B490" w:rsidR="0023468E" w:rsidRPr="00884F66" w:rsidRDefault="00346CDA" w:rsidP="001666CA">
      <w:pPr>
        <w:pStyle w:val="Agency-body-text"/>
        <w:jc w:val="both"/>
      </w:pPr>
      <w:r w:rsidRPr="00346CDA">
        <w:t>Krótko mówiąc</w:t>
      </w:r>
      <w:r>
        <w:t xml:space="preserve">: </w:t>
      </w:r>
      <w:r w:rsidRPr="001756AD">
        <w:rPr>
          <w:i/>
          <w:iCs/>
        </w:rPr>
        <w:t xml:space="preserve">„...zadawanie właściwych pytań dotyczących polityki jest punktem wyjścia do gromadzenia danych, które w znaczący sposób wpływają na </w:t>
      </w:r>
      <w:r w:rsidR="00884F66" w:rsidRPr="001756AD">
        <w:rPr>
          <w:i/>
          <w:iCs/>
        </w:rPr>
        <w:t>jej kierunki”</w:t>
      </w:r>
      <w:r w:rsidR="00884F66">
        <w:t xml:space="preserve"> </w:t>
      </w:r>
      <w:r w:rsidR="007322ED" w:rsidRPr="00346CDA">
        <w:t>(European Agency</w:t>
      </w:r>
      <w:r w:rsidR="009E199E" w:rsidRPr="00346CDA">
        <w:t xml:space="preserve">, </w:t>
      </w:r>
      <w:r w:rsidR="007322ED" w:rsidRPr="00346CDA">
        <w:t>2014</w:t>
      </w:r>
      <w:r w:rsidR="008E2739" w:rsidRPr="00346CDA">
        <w:t>,</w:t>
      </w:r>
      <w:r w:rsidR="008B5D08" w:rsidRPr="00346CDA">
        <w:t xml:space="preserve"> </w:t>
      </w:r>
      <w:r w:rsidR="001177BB" w:rsidRPr="00346CDA">
        <w:t>str.</w:t>
      </w:r>
      <w:r w:rsidR="008E2739" w:rsidRPr="00346CDA">
        <w:t xml:space="preserve"> </w:t>
      </w:r>
      <w:r w:rsidR="008B5D08" w:rsidRPr="00346CDA">
        <w:t>40</w:t>
      </w:r>
      <w:r w:rsidR="007322ED" w:rsidRPr="00346CDA">
        <w:t>)</w:t>
      </w:r>
      <w:r w:rsidR="009E199E" w:rsidRPr="00346CDA">
        <w:t>.</w:t>
      </w:r>
      <w:r w:rsidR="0023468E" w:rsidRPr="00346CDA">
        <w:t xml:space="preserve"> </w:t>
      </w:r>
      <w:r w:rsidR="00884F66" w:rsidRPr="00884F66">
        <w:t xml:space="preserve">Tego typu pytania dotyczące polityki mogą być wykorzystane do zastanowienia się, czy kluczowe struktury i procesy zostały wdrożone, czy też nie. Wskaźniki, często formułowane w formie pytań, mogą </w:t>
      </w:r>
      <w:r w:rsidR="00884F66">
        <w:t xml:space="preserve">umożliwić stosowanie </w:t>
      </w:r>
      <w:r w:rsidR="00884F66" w:rsidRPr="00884F66">
        <w:t>elastyczne</w:t>
      </w:r>
      <w:r w:rsidR="00884F66">
        <w:t>go</w:t>
      </w:r>
      <w:r w:rsidR="00884F66" w:rsidRPr="00884F66">
        <w:t xml:space="preserve"> podejści</w:t>
      </w:r>
      <w:r w:rsidR="00884F66">
        <w:t>a</w:t>
      </w:r>
      <w:r w:rsidR="00884F66" w:rsidRPr="00884F66">
        <w:t xml:space="preserve"> do zrozumienia polityki, strategii i </w:t>
      </w:r>
      <w:r w:rsidR="00884F66">
        <w:t xml:space="preserve">ich </w:t>
      </w:r>
      <w:r w:rsidR="00884F66" w:rsidRPr="00884F66">
        <w:t>wdrażania oraz</w:t>
      </w:r>
      <w:r w:rsidR="00884F66">
        <w:t xml:space="preserve"> pokazać</w:t>
      </w:r>
      <w:r w:rsidR="00884F66" w:rsidRPr="00884F66">
        <w:t xml:space="preserve">, w jakim stopniu system promuje stopniowe </w:t>
      </w:r>
      <w:r w:rsidR="00884F66">
        <w:t xml:space="preserve">wprowadzanie </w:t>
      </w:r>
      <w:r w:rsidR="00884F66" w:rsidRPr="00884F66">
        <w:t xml:space="preserve">zmian </w:t>
      </w:r>
      <w:r w:rsidR="00921946" w:rsidRPr="00884F66">
        <w:t>(Downes, 2014, 2014a).</w:t>
      </w:r>
      <w:r w:rsidR="00842759" w:rsidRPr="00884F66">
        <w:t xml:space="preserve"> </w:t>
      </w:r>
    </w:p>
    <w:p w14:paraId="2A03E826" w14:textId="75E3E8BD" w:rsidR="00F451B8" w:rsidRPr="00884F66" w:rsidRDefault="00884F66" w:rsidP="001666CA">
      <w:pPr>
        <w:pStyle w:val="Agency-body-text"/>
        <w:jc w:val="both"/>
      </w:pPr>
      <w:r w:rsidRPr="00884F66">
        <w:t xml:space="preserve">Co istotne, wskaźniki </w:t>
      </w:r>
      <w:r w:rsidR="001F6942">
        <w:t xml:space="preserve">dotyczące istniejących </w:t>
      </w:r>
      <w:r w:rsidRPr="00884F66">
        <w:t>struktur mogą stanowić sposób na zapewnienie nadrzędnych krajowych ram</w:t>
      </w:r>
      <w:r>
        <w:t xml:space="preserve"> w zakresie </w:t>
      </w:r>
      <w:r w:rsidRPr="00884F66">
        <w:t xml:space="preserve">kluczowych kwestii </w:t>
      </w:r>
      <w:r>
        <w:t xml:space="preserve">wymagających </w:t>
      </w:r>
      <w:r w:rsidRPr="00884F66">
        <w:t xml:space="preserve">rozwiązania (Downes, 2015), pomagając </w:t>
      </w:r>
      <w:r>
        <w:t xml:space="preserve">tym samym </w:t>
      </w:r>
      <w:r w:rsidRPr="00884F66">
        <w:t xml:space="preserve">w </w:t>
      </w:r>
      <w:r>
        <w:t xml:space="preserve">określeniu </w:t>
      </w:r>
      <w:r w:rsidRPr="00884F66">
        <w:t xml:space="preserve">warunków </w:t>
      </w:r>
      <w:r>
        <w:t xml:space="preserve">umożliwiających osiągnięcie </w:t>
      </w:r>
      <w:r w:rsidRPr="00884F66">
        <w:t>sukces</w:t>
      </w:r>
      <w:r>
        <w:t>u</w:t>
      </w:r>
      <w:r w:rsidRPr="00884F66">
        <w:t xml:space="preserve">, przy jednoczesnym poszanowaniu profesjonalnych </w:t>
      </w:r>
      <w:r>
        <w:t xml:space="preserve">opinii </w:t>
      </w:r>
      <w:r w:rsidRPr="00884F66">
        <w:t xml:space="preserve">interesariuszy i unikaniu odgórnych nakazów. </w:t>
      </w:r>
      <w:r w:rsidR="001F6942">
        <w:t>W</w:t>
      </w:r>
      <w:r w:rsidRPr="00884F66">
        <w:t xml:space="preserve">skaźniki mogą </w:t>
      </w:r>
      <w:r w:rsidR="001F6942">
        <w:t>p</w:t>
      </w:r>
      <w:r w:rsidR="001F6942" w:rsidRPr="00884F66">
        <w:t xml:space="preserve">onadto </w:t>
      </w:r>
      <w:r w:rsidRPr="00884F66">
        <w:t xml:space="preserve">wspierać dzielenie się przykładami poprzez podkreślanie </w:t>
      </w:r>
      <w:r>
        <w:t xml:space="preserve">tych </w:t>
      </w:r>
      <w:r w:rsidRPr="00884F66">
        <w:t xml:space="preserve">elementów, </w:t>
      </w:r>
      <w:r>
        <w:t xml:space="preserve">dzięki którym możliwe jest </w:t>
      </w:r>
      <w:r w:rsidR="00A35927">
        <w:t>zastosowanie</w:t>
      </w:r>
      <w:r>
        <w:t xml:space="preserve"> danej praktyki</w:t>
      </w:r>
      <w:r w:rsidR="00A35927">
        <w:t xml:space="preserve"> w innych </w:t>
      </w:r>
      <w:r w:rsidRPr="00884F66">
        <w:t>złożony</w:t>
      </w:r>
      <w:r w:rsidR="00A35927">
        <w:t>ch</w:t>
      </w:r>
      <w:r w:rsidRPr="00884F66">
        <w:t xml:space="preserve"> sytuacja</w:t>
      </w:r>
      <w:r w:rsidR="00A35927">
        <w:t>ch</w:t>
      </w:r>
      <w:r w:rsidRPr="00884F66">
        <w:t>.</w:t>
      </w:r>
    </w:p>
    <w:p w14:paraId="19474694" w14:textId="23E76E21" w:rsidR="00BB2C1D" w:rsidRPr="00A35927" w:rsidRDefault="00A35927" w:rsidP="001666CA">
      <w:pPr>
        <w:pStyle w:val="Agency-body-text"/>
        <w:jc w:val="both"/>
      </w:pPr>
      <w:r>
        <w:t>O</w:t>
      </w:r>
      <w:r w:rsidRPr="00A35927">
        <w:t xml:space="preserve">pracowywaniu wskaźników dla systemów włączających </w:t>
      </w:r>
      <w:r>
        <w:t xml:space="preserve">funkcjonujących </w:t>
      </w:r>
      <w:r w:rsidRPr="00A35927">
        <w:t xml:space="preserve">w szkołach i </w:t>
      </w:r>
      <w:r>
        <w:t>w ich otoczeniu</w:t>
      </w:r>
      <w:r w:rsidRPr="00A35927">
        <w:t xml:space="preserve"> </w:t>
      </w:r>
      <w:r>
        <w:t xml:space="preserve">powinno towarzyszyć przekonanie, </w:t>
      </w:r>
      <w:r w:rsidRPr="00A35927">
        <w:t xml:space="preserve">że uczeń znajduje się w centrum szeregu </w:t>
      </w:r>
      <w:r>
        <w:t xml:space="preserve">różnych </w:t>
      </w:r>
      <w:r w:rsidRPr="00A35927">
        <w:t>systemów, które współpracują ze sobą, aby kształtować jego rozwój (</w:t>
      </w:r>
      <w:r>
        <w:t xml:space="preserve">European Agency </w:t>
      </w:r>
      <w:r w:rsidRPr="00A35927">
        <w:t xml:space="preserve">2016b, 2017a). </w:t>
      </w:r>
      <w:r>
        <w:t>Z</w:t>
      </w:r>
      <w:r w:rsidRPr="00A35927">
        <w:t xml:space="preserve"> kolei </w:t>
      </w:r>
      <w:r>
        <w:t>takie podejście</w:t>
      </w:r>
      <w:r w:rsidRPr="00A35927">
        <w:t xml:space="preserve"> może wspierać spójność i ujednolicać działania </w:t>
      </w:r>
      <w:r>
        <w:t xml:space="preserve">podejmowane </w:t>
      </w:r>
      <w:r w:rsidRPr="00A35927">
        <w:t>w zakresie planowania, wdrażania, monitorowania i ewaluacji na poziomie szkoły, społeczności lokalnej</w:t>
      </w:r>
      <w:r>
        <w:t xml:space="preserve"> oraz na poziomie </w:t>
      </w:r>
      <w:r w:rsidRPr="00A35927">
        <w:t xml:space="preserve">regionalnym i krajowym. Standardy jakości i wskaźniki mogą zatem pomóc szkołom </w:t>
      </w:r>
      <w:r>
        <w:t xml:space="preserve">włączyć </w:t>
      </w:r>
      <w:r w:rsidRPr="00A35927">
        <w:t>zapewniani</w:t>
      </w:r>
      <w:r>
        <w:t>e</w:t>
      </w:r>
      <w:r w:rsidRPr="00A35927">
        <w:t xml:space="preserve"> jakości do </w:t>
      </w:r>
      <w:r w:rsidR="00765B0E">
        <w:t xml:space="preserve">ich </w:t>
      </w:r>
      <w:r w:rsidRPr="00A35927">
        <w:t xml:space="preserve">polityki </w:t>
      </w:r>
      <w:r w:rsidR="00765B0E">
        <w:t>oraz</w:t>
      </w:r>
      <w:r w:rsidRPr="00A35927">
        <w:t xml:space="preserve"> </w:t>
      </w:r>
      <w:r w:rsidR="00765B0E">
        <w:t xml:space="preserve">umożliwić im działanie zgodnie z zasadami </w:t>
      </w:r>
      <w:r w:rsidRPr="00A35927">
        <w:t>organizacj</w:t>
      </w:r>
      <w:r w:rsidR="00765B0E">
        <w:t>i</w:t>
      </w:r>
      <w:r w:rsidRPr="00A35927">
        <w:t xml:space="preserve"> uczące</w:t>
      </w:r>
      <w:r w:rsidR="00765B0E">
        <w:t>j</w:t>
      </w:r>
      <w:r w:rsidRPr="00A35927">
        <w:t xml:space="preserve"> się, dążące</w:t>
      </w:r>
      <w:r w:rsidR="00765B0E">
        <w:t>j</w:t>
      </w:r>
      <w:r w:rsidRPr="00A35927">
        <w:t xml:space="preserve"> do ciągłego doskonalenia swoich praktyk (Ebersold i Meijer, 2016).</w:t>
      </w:r>
    </w:p>
    <w:p w14:paraId="372DA8EC" w14:textId="69A3DE2B" w:rsidR="00765B0E" w:rsidRPr="00765B0E" w:rsidRDefault="00765B0E" w:rsidP="001666CA">
      <w:pPr>
        <w:pStyle w:val="Agency-body-text"/>
        <w:jc w:val="both"/>
      </w:pPr>
      <w:r w:rsidRPr="00765B0E">
        <w:t xml:space="preserve">Model MEiN </w:t>
      </w:r>
      <w:r>
        <w:t>„</w:t>
      </w:r>
      <w:r w:rsidRPr="00765B0E">
        <w:t>Edukacja dla wszystkich</w:t>
      </w:r>
      <w:r>
        <w:t>”</w:t>
      </w:r>
      <w:r w:rsidRPr="00765B0E">
        <w:t xml:space="preserve"> potencjalnie przyczyni się do zapewnienia wysokiej jakości edukacji wszystkim </w:t>
      </w:r>
      <w:r>
        <w:t xml:space="preserve">osobom uczącym się </w:t>
      </w:r>
      <w:r w:rsidRPr="00765B0E">
        <w:t xml:space="preserve">poprzez poprawę monitorowania i ewaluacji oraz zwiększenie odpowiedzialności szkół i instytucji w tym procesie, określając jasno role i obowiązki </w:t>
      </w:r>
      <w:r>
        <w:t xml:space="preserve">w zakresie odpowiedzialności </w:t>
      </w:r>
      <w:r w:rsidRPr="00765B0E">
        <w:t xml:space="preserve">za zapewnienie realizacji praw wszystkich uczniów zarówno do edukacji, jak i w </w:t>
      </w:r>
      <w:r>
        <w:t>ramach niej</w:t>
      </w:r>
      <w:r w:rsidRPr="00765B0E">
        <w:t>.</w:t>
      </w:r>
    </w:p>
    <w:p w14:paraId="37DD38C7" w14:textId="6DB6414B" w:rsidR="00336F22" w:rsidRPr="0060107A" w:rsidRDefault="00765B0E" w:rsidP="001666CA">
      <w:pPr>
        <w:pStyle w:val="Agency-body-text"/>
        <w:jc w:val="both"/>
        <w:rPr>
          <w:lang w:val="en-US"/>
        </w:rPr>
      </w:pPr>
      <w:r w:rsidRPr="00765B0E">
        <w:rPr>
          <w:lang w:val="en-US"/>
        </w:rPr>
        <w:t> </w:t>
      </w:r>
    </w:p>
    <w:p w14:paraId="235ACEFF" w14:textId="570722A1" w:rsidR="00B11E0C" w:rsidRPr="0060107A" w:rsidRDefault="00B11E0C" w:rsidP="000746BE">
      <w:pPr>
        <w:pStyle w:val="Agency-body-text"/>
        <w:rPr>
          <w:lang w:val="en-US"/>
        </w:rPr>
      </w:pPr>
      <w:r w:rsidRPr="0060107A">
        <w:rPr>
          <w:lang w:val="en-US"/>
        </w:rPr>
        <w:br w:type="page"/>
      </w:r>
    </w:p>
    <w:p w14:paraId="3A91C464" w14:textId="4A08F764" w:rsidR="009B1515" w:rsidRPr="006925D7" w:rsidRDefault="0064267A" w:rsidP="00502E9E">
      <w:pPr>
        <w:pStyle w:val="Agency-heading-1"/>
      </w:pPr>
      <w:bookmarkStart w:id="22" w:name="NextSteps"/>
      <w:bookmarkStart w:id="23" w:name="_Toc65848403"/>
      <w:bookmarkStart w:id="24" w:name="_Toc71542601"/>
      <w:r w:rsidRPr="006925D7">
        <w:lastRenderedPageBreak/>
        <w:t>Wnioski</w:t>
      </w:r>
      <w:bookmarkEnd w:id="22"/>
      <w:bookmarkEnd w:id="23"/>
      <w:bookmarkEnd w:id="24"/>
    </w:p>
    <w:bookmarkEnd w:id="0"/>
    <w:bookmarkEnd w:id="1"/>
    <w:bookmarkEnd w:id="2"/>
    <w:bookmarkEnd w:id="3"/>
    <w:p w14:paraId="1039D9BB" w14:textId="11098FF2" w:rsidR="00595B4F" w:rsidRPr="00595B4F" w:rsidRDefault="00595B4F" w:rsidP="00A372A1">
      <w:pPr>
        <w:pStyle w:val="Agency-body-text"/>
        <w:jc w:val="both"/>
        <w:rPr>
          <w:color w:val="auto"/>
        </w:rPr>
      </w:pPr>
      <w:r>
        <w:rPr>
          <w:color w:val="auto"/>
        </w:rPr>
        <w:t xml:space="preserve">Konsultacje </w:t>
      </w:r>
      <w:r w:rsidRPr="00595B4F">
        <w:rPr>
          <w:color w:val="auto"/>
        </w:rPr>
        <w:t xml:space="preserve">przeprowadzone w całej Polsce w okresie od października do grudnia 2020 r. dostarczyły informacji zwrotnych od szerokiego grona interesariuszy. Powszechnie uznano, że </w:t>
      </w:r>
      <w:r w:rsidRPr="00595B4F">
        <w:rPr>
          <w:i/>
          <w:iCs/>
          <w:color w:val="auto"/>
        </w:rPr>
        <w:t>Założenia</w:t>
      </w:r>
      <w:r w:rsidRPr="00595B4F">
        <w:rPr>
          <w:color w:val="auto"/>
        </w:rPr>
        <w:t xml:space="preserve"> w sposób kompleksowy odnoszą się do kwestii, z którymi boryka się polski system edukacji. W wielu przypadkach</w:t>
      </w:r>
      <w:r w:rsidR="00A372A1">
        <w:rPr>
          <w:color w:val="auto"/>
        </w:rPr>
        <w:t xml:space="preserve">, </w:t>
      </w:r>
      <w:r w:rsidR="00A372A1" w:rsidRPr="00595B4F">
        <w:rPr>
          <w:color w:val="auto"/>
        </w:rPr>
        <w:t xml:space="preserve">w zależności od stanowiska </w:t>
      </w:r>
      <w:r w:rsidR="00A372A1">
        <w:rPr>
          <w:color w:val="auto"/>
        </w:rPr>
        <w:t xml:space="preserve">danego </w:t>
      </w:r>
      <w:r w:rsidR="00A372A1" w:rsidRPr="00595B4F">
        <w:rPr>
          <w:color w:val="auto"/>
        </w:rPr>
        <w:t>respondenta</w:t>
      </w:r>
      <w:r w:rsidR="00A372A1">
        <w:rPr>
          <w:color w:val="auto"/>
        </w:rPr>
        <w:t>,</w:t>
      </w:r>
      <w:r w:rsidRPr="00595B4F">
        <w:rPr>
          <w:color w:val="auto"/>
        </w:rPr>
        <w:t xml:space="preserve"> </w:t>
      </w:r>
      <w:r>
        <w:rPr>
          <w:color w:val="auto"/>
        </w:rPr>
        <w:t xml:space="preserve">to samo zagadnienie </w:t>
      </w:r>
      <w:r w:rsidRPr="00595B4F">
        <w:rPr>
          <w:color w:val="auto"/>
        </w:rPr>
        <w:t>był postrzegan</w:t>
      </w:r>
      <w:r w:rsidR="001F6942">
        <w:rPr>
          <w:color w:val="auto"/>
        </w:rPr>
        <w:t>e</w:t>
      </w:r>
      <w:r w:rsidRPr="00595B4F">
        <w:rPr>
          <w:color w:val="auto"/>
        </w:rPr>
        <w:t xml:space="preserve"> zarówno jako wyzwanie, jak i szansa. Negatywne odpowiedzi wydawały się być komentarzem do obecnej sytuacji w systemie edukacji, podczas gdy inni interesariusze uzna</w:t>
      </w:r>
      <w:r w:rsidR="00A372A1">
        <w:rPr>
          <w:color w:val="auto"/>
        </w:rPr>
        <w:t>wa</w:t>
      </w:r>
      <w:r w:rsidRPr="00595B4F">
        <w:rPr>
          <w:color w:val="auto"/>
        </w:rPr>
        <w:t xml:space="preserve">li </w:t>
      </w:r>
      <w:r w:rsidRPr="00595B4F">
        <w:rPr>
          <w:i/>
          <w:iCs/>
          <w:color w:val="auto"/>
        </w:rPr>
        <w:t>Założenia</w:t>
      </w:r>
      <w:r w:rsidRPr="00595B4F">
        <w:rPr>
          <w:color w:val="auto"/>
        </w:rPr>
        <w:t xml:space="preserve"> za deklarację </w:t>
      </w:r>
      <w:r>
        <w:rPr>
          <w:color w:val="auto"/>
        </w:rPr>
        <w:t xml:space="preserve">osiągnięcia </w:t>
      </w:r>
      <w:r w:rsidRPr="00595B4F">
        <w:rPr>
          <w:color w:val="auto"/>
        </w:rPr>
        <w:t xml:space="preserve">pożądanych długoterminowych rezultatów i szansę na stworzenie wysokiej jakości systemu dla wszystkich </w:t>
      </w:r>
      <w:r>
        <w:rPr>
          <w:color w:val="auto"/>
        </w:rPr>
        <w:t xml:space="preserve">osób </w:t>
      </w:r>
      <w:r w:rsidRPr="00595B4F">
        <w:rPr>
          <w:color w:val="auto"/>
        </w:rPr>
        <w:t>uczących się.</w:t>
      </w:r>
    </w:p>
    <w:p w14:paraId="139A2FD1" w14:textId="0FAC1CE0" w:rsidR="00595B4F" w:rsidRPr="00595B4F" w:rsidRDefault="00595B4F" w:rsidP="00A372A1">
      <w:pPr>
        <w:pStyle w:val="Agency-body-text"/>
        <w:jc w:val="both"/>
        <w:rPr>
          <w:color w:val="auto"/>
        </w:rPr>
      </w:pPr>
      <w:r w:rsidRPr="00595B4F">
        <w:rPr>
          <w:color w:val="auto"/>
        </w:rPr>
        <w:t xml:space="preserve">W miarę postępu prac, </w:t>
      </w:r>
      <w:r>
        <w:rPr>
          <w:color w:val="auto"/>
        </w:rPr>
        <w:t xml:space="preserve">prowadzenie </w:t>
      </w:r>
      <w:r w:rsidRPr="00595B4F">
        <w:rPr>
          <w:color w:val="auto"/>
        </w:rPr>
        <w:t>dialog</w:t>
      </w:r>
      <w:r>
        <w:rPr>
          <w:color w:val="auto"/>
        </w:rPr>
        <w:t>u</w:t>
      </w:r>
      <w:r w:rsidRPr="00595B4F">
        <w:rPr>
          <w:color w:val="auto"/>
        </w:rPr>
        <w:t xml:space="preserve"> z interesariuszami pow</w:t>
      </w:r>
      <w:r>
        <w:rPr>
          <w:color w:val="auto"/>
        </w:rPr>
        <w:t>inno stanowić</w:t>
      </w:r>
      <w:r w:rsidRPr="00595B4F">
        <w:rPr>
          <w:color w:val="auto"/>
        </w:rPr>
        <w:t xml:space="preserve"> priorytet w celu </w:t>
      </w:r>
      <w:r>
        <w:rPr>
          <w:color w:val="auto"/>
        </w:rPr>
        <w:t xml:space="preserve">zwiększenia </w:t>
      </w:r>
      <w:r w:rsidRPr="00595B4F">
        <w:rPr>
          <w:color w:val="auto"/>
        </w:rPr>
        <w:t xml:space="preserve">świadomości i zrozumienia celu </w:t>
      </w:r>
      <w:r w:rsidRPr="00595B4F">
        <w:rPr>
          <w:i/>
          <w:iCs/>
          <w:color w:val="auto"/>
        </w:rPr>
        <w:t>Założeń.</w:t>
      </w:r>
      <w:r w:rsidRPr="00595B4F">
        <w:rPr>
          <w:color w:val="auto"/>
        </w:rPr>
        <w:t xml:space="preserve"> Dalsze szczegółowe planowanie będzie wymagane </w:t>
      </w:r>
      <w:r>
        <w:rPr>
          <w:color w:val="auto"/>
        </w:rPr>
        <w:t xml:space="preserve">w odniesieniu do </w:t>
      </w:r>
      <w:r w:rsidRPr="00595B4F">
        <w:rPr>
          <w:color w:val="auto"/>
        </w:rPr>
        <w:t>każdej fazy wdrażania</w:t>
      </w:r>
      <w:r>
        <w:rPr>
          <w:color w:val="auto"/>
        </w:rPr>
        <w:t xml:space="preserve"> modelu</w:t>
      </w:r>
      <w:r w:rsidRPr="00595B4F">
        <w:rPr>
          <w:color w:val="auto"/>
        </w:rPr>
        <w:t xml:space="preserve">, </w:t>
      </w:r>
      <w:r>
        <w:rPr>
          <w:color w:val="auto"/>
        </w:rPr>
        <w:t xml:space="preserve">z uwzględnieniem </w:t>
      </w:r>
      <w:r w:rsidR="001F6942" w:rsidRPr="00595B4F">
        <w:rPr>
          <w:color w:val="auto"/>
        </w:rPr>
        <w:t>projekt</w:t>
      </w:r>
      <w:r w:rsidR="001F6942">
        <w:rPr>
          <w:color w:val="auto"/>
        </w:rPr>
        <w:t>ów</w:t>
      </w:r>
      <w:r w:rsidR="001F6942" w:rsidRPr="00595B4F">
        <w:rPr>
          <w:color w:val="auto"/>
        </w:rPr>
        <w:t xml:space="preserve"> pilotażow</w:t>
      </w:r>
      <w:r w:rsidR="001F6942">
        <w:rPr>
          <w:color w:val="auto"/>
        </w:rPr>
        <w:t>ych</w:t>
      </w:r>
      <w:r w:rsidR="001F6942" w:rsidRPr="00595B4F">
        <w:rPr>
          <w:color w:val="auto"/>
        </w:rPr>
        <w:t xml:space="preserve"> </w:t>
      </w:r>
      <w:r w:rsidR="001F6942">
        <w:rPr>
          <w:color w:val="auto"/>
        </w:rPr>
        <w:t xml:space="preserve">realizowanych </w:t>
      </w:r>
      <w:r w:rsidRPr="00595B4F">
        <w:rPr>
          <w:color w:val="auto"/>
        </w:rPr>
        <w:t>obecn</w:t>
      </w:r>
      <w:r w:rsidR="001F6942">
        <w:rPr>
          <w:color w:val="auto"/>
        </w:rPr>
        <w:t>ie</w:t>
      </w:r>
      <w:r w:rsidRPr="00595B4F">
        <w:rPr>
          <w:color w:val="auto"/>
        </w:rPr>
        <w:t xml:space="preserve"> i </w:t>
      </w:r>
      <w:r w:rsidR="001F6942">
        <w:rPr>
          <w:color w:val="auto"/>
        </w:rPr>
        <w:t xml:space="preserve">w </w:t>
      </w:r>
      <w:r w:rsidRPr="00595B4F">
        <w:rPr>
          <w:color w:val="auto"/>
        </w:rPr>
        <w:t>przyszł</w:t>
      </w:r>
      <w:r w:rsidR="001F6942">
        <w:rPr>
          <w:color w:val="auto"/>
        </w:rPr>
        <w:t>ości</w:t>
      </w:r>
      <w:r w:rsidRPr="00595B4F">
        <w:rPr>
          <w:color w:val="auto"/>
        </w:rPr>
        <w:t xml:space="preserve">. Ogólnie rzecz biorąc, proces </w:t>
      </w:r>
      <w:r w:rsidR="00477FE5">
        <w:rPr>
          <w:color w:val="auto"/>
        </w:rPr>
        <w:t xml:space="preserve">wprowadzania </w:t>
      </w:r>
      <w:r w:rsidRPr="00595B4F">
        <w:rPr>
          <w:color w:val="auto"/>
        </w:rPr>
        <w:t>zmian powinien być postrzegany jako długoterminowy</w:t>
      </w:r>
      <w:r w:rsidR="00477FE5">
        <w:rPr>
          <w:color w:val="auto"/>
        </w:rPr>
        <w:t xml:space="preserve"> i</w:t>
      </w:r>
      <w:r w:rsidRPr="00595B4F">
        <w:rPr>
          <w:color w:val="auto"/>
        </w:rPr>
        <w:t xml:space="preserve"> </w:t>
      </w:r>
      <w:r>
        <w:rPr>
          <w:color w:val="auto"/>
        </w:rPr>
        <w:t xml:space="preserve">wdrażany </w:t>
      </w:r>
      <w:r w:rsidRPr="00595B4F">
        <w:rPr>
          <w:color w:val="auto"/>
        </w:rPr>
        <w:t xml:space="preserve">w realistycznym tempie, </w:t>
      </w:r>
      <w:r>
        <w:rPr>
          <w:color w:val="auto"/>
        </w:rPr>
        <w:t>w celu zapewnienia</w:t>
      </w:r>
      <w:r w:rsidRPr="00595B4F">
        <w:rPr>
          <w:color w:val="auto"/>
        </w:rPr>
        <w:t xml:space="preserve"> sukces</w:t>
      </w:r>
      <w:r>
        <w:rPr>
          <w:color w:val="auto"/>
        </w:rPr>
        <w:t xml:space="preserve">u wspólnych wysiłków zmierzających do </w:t>
      </w:r>
      <w:r w:rsidRPr="00595B4F">
        <w:rPr>
          <w:color w:val="auto"/>
        </w:rPr>
        <w:t>osiągnięci</w:t>
      </w:r>
      <w:r>
        <w:rPr>
          <w:color w:val="auto"/>
        </w:rPr>
        <w:t>a</w:t>
      </w:r>
      <w:r w:rsidRPr="00595B4F">
        <w:rPr>
          <w:color w:val="auto"/>
        </w:rPr>
        <w:t xml:space="preserve"> uzgodnionych celów i zagwarantowa</w:t>
      </w:r>
      <w:r>
        <w:rPr>
          <w:color w:val="auto"/>
        </w:rPr>
        <w:t>nia</w:t>
      </w:r>
      <w:r w:rsidRPr="00595B4F">
        <w:rPr>
          <w:color w:val="auto"/>
        </w:rPr>
        <w:t xml:space="preserve">, że w systemie edukacji w Polsce </w:t>
      </w:r>
      <w:r>
        <w:rPr>
          <w:color w:val="auto"/>
        </w:rPr>
        <w:t>„</w:t>
      </w:r>
      <w:r w:rsidRPr="00595B4F">
        <w:rPr>
          <w:color w:val="auto"/>
        </w:rPr>
        <w:t>Edukacja dla wszystkich</w:t>
      </w:r>
      <w:r>
        <w:rPr>
          <w:color w:val="auto"/>
        </w:rPr>
        <w:t>”</w:t>
      </w:r>
      <w:r w:rsidRPr="00595B4F">
        <w:rPr>
          <w:color w:val="auto"/>
        </w:rPr>
        <w:t xml:space="preserve"> stanie się rzeczywistością.</w:t>
      </w:r>
    </w:p>
    <w:p w14:paraId="28379908" w14:textId="394BE8FA" w:rsidR="00336F22" w:rsidRPr="00595B4F" w:rsidRDefault="00336F22" w:rsidP="003E1E87">
      <w:pPr>
        <w:pStyle w:val="Agency-body-text"/>
      </w:pPr>
    </w:p>
    <w:p w14:paraId="50F63A9A" w14:textId="77777777" w:rsidR="00CE05FB" w:rsidRPr="00595B4F" w:rsidRDefault="00CE05FB" w:rsidP="003E1E87">
      <w:pPr>
        <w:pStyle w:val="Agency-body-text"/>
      </w:pPr>
    </w:p>
    <w:p w14:paraId="617077F1" w14:textId="35CD836C" w:rsidR="00305644" w:rsidRPr="00595B4F" w:rsidRDefault="003E1E87" w:rsidP="003E1E87">
      <w:pPr>
        <w:pStyle w:val="Agency-body-text"/>
      </w:pPr>
      <w:r w:rsidRPr="00595B4F">
        <w:t xml:space="preserve"> </w:t>
      </w:r>
      <w:r w:rsidR="00305644" w:rsidRPr="00595B4F">
        <w:br w:type="page"/>
      </w:r>
    </w:p>
    <w:p w14:paraId="59226E8E" w14:textId="5F482E86" w:rsidR="00CE05FB" w:rsidRPr="0060107A" w:rsidRDefault="00943FCC" w:rsidP="00CE05FB">
      <w:pPr>
        <w:pStyle w:val="Agency-heading-1"/>
        <w:rPr>
          <w:lang w:val="en-US"/>
        </w:rPr>
      </w:pPr>
      <w:bookmarkStart w:id="25" w:name="_Toc71542602"/>
      <w:bookmarkStart w:id="26" w:name="References"/>
      <w:r>
        <w:rPr>
          <w:lang w:val="en-US"/>
        </w:rPr>
        <w:lastRenderedPageBreak/>
        <w:t>Bibliografia</w:t>
      </w:r>
      <w:bookmarkEnd w:id="25"/>
    </w:p>
    <w:bookmarkEnd w:id="26"/>
    <w:p w14:paraId="7719153A" w14:textId="443C4A4E" w:rsidR="00426D35" w:rsidRPr="0060107A" w:rsidRDefault="00426D35" w:rsidP="00DA4EC6">
      <w:pPr>
        <w:pStyle w:val="Agency-body-text"/>
        <w:jc w:val="both"/>
        <w:rPr>
          <w:lang w:val="en-US"/>
        </w:rPr>
      </w:pPr>
      <w:r w:rsidRPr="0060107A">
        <w:rPr>
          <w:lang w:val="en-US"/>
        </w:rPr>
        <w:t xml:space="preserve">Barrett, D., 2014. Resourcing Inclusive Education, </w:t>
      </w:r>
      <w:r w:rsidR="00A401BA">
        <w:rPr>
          <w:lang w:val="en-US"/>
        </w:rPr>
        <w:t xml:space="preserve">w: </w:t>
      </w:r>
      <w:r w:rsidRPr="0060107A">
        <w:rPr>
          <w:lang w:val="en-US"/>
        </w:rPr>
        <w:t>C. Forlin and T. Loreman (</w:t>
      </w:r>
      <w:r w:rsidR="00A401BA">
        <w:rPr>
          <w:lang w:val="en-US"/>
        </w:rPr>
        <w:t>red</w:t>
      </w:r>
      <w:r w:rsidRPr="0060107A">
        <w:rPr>
          <w:lang w:val="en-US"/>
        </w:rPr>
        <w:t xml:space="preserve">.) </w:t>
      </w:r>
      <w:r w:rsidRPr="0060107A">
        <w:rPr>
          <w:i/>
          <w:iCs/>
          <w:lang w:val="en-US"/>
        </w:rPr>
        <w:t xml:space="preserve">Measuring Inclusive Education (International Perspectives on Inclusive Education, </w:t>
      </w:r>
      <w:r w:rsidR="00A401BA">
        <w:rPr>
          <w:i/>
          <w:iCs/>
          <w:lang w:val="en-US"/>
        </w:rPr>
        <w:t xml:space="preserve">tom </w:t>
      </w:r>
      <w:r w:rsidRPr="0060107A">
        <w:rPr>
          <w:i/>
          <w:iCs/>
          <w:lang w:val="en-US"/>
        </w:rPr>
        <w:t>3</w:t>
      </w:r>
      <w:r w:rsidR="00A401BA">
        <w:rPr>
          <w:i/>
          <w:iCs/>
          <w:lang w:val="en-US"/>
        </w:rPr>
        <w:t>.</w:t>
      </w:r>
      <w:r w:rsidRPr="0060107A">
        <w:rPr>
          <w:i/>
          <w:iCs/>
          <w:lang w:val="en-US"/>
        </w:rPr>
        <w:t xml:space="preserve">). </w:t>
      </w:r>
      <w:r w:rsidRPr="0060107A">
        <w:rPr>
          <w:lang w:val="en-US"/>
        </w:rPr>
        <w:t xml:space="preserve">Emerald Group Publishing Limited. </w:t>
      </w:r>
    </w:p>
    <w:p w14:paraId="18503ABF" w14:textId="35652101" w:rsidR="00426D35" w:rsidRPr="0060107A" w:rsidRDefault="00426D35" w:rsidP="00DA4EC6">
      <w:pPr>
        <w:pStyle w:val="Agency-body-text"/>
        <w:jc w:val="both"/>
        <w:rPr>
          <w:rStyle w:val="s7"/>
          <w:lang w:val="en-US"/>
        </w:rPr>
      </w:pPr>
      <w:r w:rsidRPr="0060107A">
        <w:rPr>
          <w:rStyle w:val="s7"/>
          <w:lang w:val="en-US"/>
        </w:rPr>
        <w:t xml:space="preserve">Bray, B. </w:t>
      </w:r>
      <w:r w:rsidR="00A401BA">
        <w:rPr>
          <w:rStyle w:val="s7"/>
          <w:lang w:val="en-US"/>
        </w:rPr>
        <w:t xml:space="preserve">i </w:t>
      </w:r>
      <w:r w:rsidRPr="0060107A">
        <w:rPr>
          <w:rStyle w:val="s7"/>
          <w:lang w:val="en-US"/>
        </w:rPr>
        <w:t>McClaskey, K., 2014.</w:t>
      </w:r>
      <w:r w:rsidRPr="0060107A">
        <w:rPr>
          <w:rStyle w:val="apple-converted-space"/>
          <w:lang w:val="en-US"/>
        </w:rPr>
        <w:t> </w:t>
      </w:r>
      <w:r w:rsidRPr="0060107A">
        <w:rPr>
          <w:rStyle w:val="s11"/>
          <w:i/>
          <w:iCs/>
          <w:lang w:val="en-US"/>
        </w:rPr>
        <w:t xml:space="preserve">Make learning personal: </w:t>
      </w:r>
      <w:r w:rsidR="006B708E" w:rsidRPr="0060107A">
        <w:rPr>
          <w:rStyle w:val="s11"/>
          <w:i/>
          <w:iCs/>
          <w:lang w:val="en-US"/>
        </w:rPr>
        <w:t>The what</w:t>
      </w:r>
      <w:r w:rsidRPr="0060107A">
        <w:rPr>
          <w:rStyle w:val="s11"/>
          <w:i/>
          <w:iCs/>
          <w:lang w:val="en-US"/>
        </w:rPr>
        <w:t xml:space="preserve">, who, </w:t>
      </w:r>
      <w:r w:rsidR="006B708E" w:rsidRPr="0060107A">
        <w:rPr>
          <w:rStyle w:val="s11"/>
          <w:i/>
          <w:iCs/>
          <w:lang w:val="en-US"/>
        </w:rPr>
        <w:t>h</w:t>
      </w:r>
      <w:r w:rsidRPr="0060107A">
        <w:rPr>
          <w:rStyle w:val="s11"/>
          <w:i/>
          <w:iCs/>
          <w:lang w:val="en-US"/>
        </w:rPr>
        <w:t>ow, where, and why</w:t>
      </w:r>
      <w:r w:rsidRPr="0060107A">
        <w:rPr>
          <w:rStyle w:val="s7"/>
          <w:i/>
          <w:iCs/>
          <w:lang w:val="en-US"/>
        </w:rPr>
        <w:t>.</w:t>
      </w:r>
      <w:r w:rsidRPr="0060107A">
        <w:rPr>
          <w:rStyle w:val="s7"/>
          <w:lang w:val="en-US"/>
        </w:rPr>
        <w:t xml:space="preserve"> </w:t>
      </w:r>
      <w:r w:rsidR="00F45A2C" w:rsidRPr="0060107A">
        <w:rPr>
          <w:rStyle w:val="s7"/>
          <w:lang w:val="en-US"/>
        </w:rPr>
        <w:t xml:space="preserve">Thousand Oaks: </w:t>
      </w:r>
      <w:r w:rsidRPr="0060107A">
        <w:rPr>
          <w:rStyle w:val="s7"/>
          <w:lang w:val="en-US"/>
        </w:rPr>
        <w:t>Corwin Pres</w:t>
      </w:r>
      <w:r w:rsidR="00F45A2C" w:rsidRPr="0060107A">
        <w:rPr>
          <w:rStyle w:val="s7"/>
          <w:lang w:val="en-US"/>
        </w:rPr>
        <w:t>s.</w:t>
      </w:r>
    </w:p>
    <w:p w14:paraId="5692007F" w14:textId="5D8FA08E" w:rsidR="001B2E00" w:rsidRPr="0060107A" w:rsidRDefault="001B2E00" w:rsidP="00DA4EC6">
      <w:pPr>
        <w:pStyle w:val="Agency-body-text"/>
        <w:jc w:val="both"/>
        <w:rPr>
          <w:rStyle w:val="s7"/>
          <w:lang w:val="en-US"/>
        </w:rPr>
      </w:pPr>
      <w:r w:rsidRPr="0060107A">
        <w:rPr>
          <w:rStyle w:val="s7"/>
          <w:lang w:val="en-US"/>
        </w:rPr>
        <w:t xml:space="preserve">Council of the European Union, 2020. </w:t>
      </w:r>
      <w:r w:rsidR="00A07F05" w:rsidRPr="0060107A">
        <w:rPr>
          <w:rStyle w:val="s7"/>
          <w:lang w:val="en-US"/>
        </w:rPr>
        <w:t>Council</w:t>
      </w:r>
      <w:r w:rsidRPr="0060107A">
        <w:rPr>
          <w:rStyle w:val="s7"/>
          <w:lang w:val="en-US"/>
        </w:rPr>
        <w:t xml:space="preserve"> Conclusions on European Teachers and Trainers for the Future 2020/C 193/04</w:t>
      </w:r>
      <w:r w:rsidR="00FC6288" w:rsidRPr="0060107A">
        <w:rPr>
          <w:rStyle w:val="s7"/>
          <w:lang w:val="en-US"/>
        </w:rPr>
        <w:t>.</w:t>
      </w:r>
    </w:p>
    <w:p w14:paraId="58EA81C9" w14:textId="3D0684B1" w:rsidR="00426D35" w:rsidRPr="0060107A" w:rsidRDefault="00426D35" w:rsidP="00DA4EC6">
      <w:pPr>
        <w:pStyle w:val="Agency-body-text"/>
        <w:jc w:val="both"/>
        <w:rPr>
          <w:lang w:val="en-US"/>
        </w:rPr>
      </w:pPr>
      <w:r w:rsidRPr="0060107A">
        <w:rPr>
          <w:lang w:val="en-US"/>
        </w:rPr>
        <w:t xml:space="preserve">Commissioner for Human Rights, 2017. </w:t>
      </w:r>
      <w:r w:rsidRPr="0060107A">
        <w:rPr>
          <w:i/>
          <w:iCs/>
          <w:lang w:val="en-US"/>
        </w:rPr>
        <w:t>Fighting school segregation in Europe through inclusive education</w:t>
      </w:r>
      <w:r w:rsidR="009805DB" w:rsidRPr="0060107A">
        <w:rPr>
          <w:i/>
          <w:iCs/>
          <w:lang w:val="en-US"/>
        </w:rPr>
        <w:t>:</w:t>
      </w:r>
      <w:r w:rsidRPr="0060107A">
        <w:rPr>
          <w:i/>
          <w:iCs/>
          <w:lang w:val="en-US"/>
        </w:rPr>
        <w:t xml:space="preserve"> A position paper</w:t>
      </w:r>
      <w:r w:rsidRPr="0060107A">
        <w:rPr>
          <w:lang w:val="en-US"/>
        </w:rPr>
        <w:t>. Council of Europe</w:t>
      </w:r>
      <w:r w:rsidR="00FC6288" w:rsidRPr="0060107A">
        <w:rPr>
          <w:lang w:val="en-US"/>
        </w:rPr>
        <w:t>.</w:t>
      </w:r>
    </w:p>
    <w:p w14:paraId="3781D20A" w14:textId="2D48CB8B" w:rsidR="00426D35" w:rsidRPr="0060107A" w:rsidRDefault="00426D35" w:rsidP="00DA4EC6">
      <w:pPr>
        <w:pStyle w:val="Agency-body-text"/>
        <w:jc w:val="both"/>
        <w:rPr>
          <w:lang w:val="en-US"/>
        </w:rPr>
      </w:pPr>
      <w:r w:rsidRPr="0060107A">
        <w:rPr>
          <w:lang w:val="en-US"/>
        </w:rPr>
        <w:t xml:space="preserve">Degener, T., Uldry, M. 2018. </w:t>
      </w:r>
      <w:r w:rsidRPr="0060107A">
        <w:rPr>
          <w:i/>
          <w:iCs/>
          <w:lang w:val="en-US"/>
        </w:rPr>
        <w:t>Towards Inclusive Equality: 10 Years Committee on the Rights of Persons with Disabilities</w:t>
      </w:r>
      <w:r w:rsidRPr="0060107A">
        <w:rPr>
          <w:lang w:val="en-US"/>
        </w:rPr>
        <w:t>. Bochum, Germany, Protestant University of Applied Sciences Rhineland-Westphalia-Lippe</w:t>
      </w:r>
      <w:r w:rsidR="00FC6288" w:rsidRPr="0060107A">
        <w:rPr>
          <w:lang w:val="en-US"/>
        </w:rPr>
        <w:t>.</w:t>
      </w:r>
    </w:p>
    <w:p w14:paraId="0A639131" w14:textId="17B69874" w:rsidR="00426D35" w:rsidRPr="0060107A" w:rsidRDefault="00426D35" w:rsidP="00DA4EC6">
      <w:pPr>
        <w:pStyle w:val="Agency-body-text"/>
        <w:jc w:val="both"/>
        <w:rPr>
          <w:lang w:val="en-US"/>
        </w:rPr>
      </w:pPr>
      <w:r w:rsidRPr="0060107A">
        <w:rPr>
          <w:lang w:val="en-US"/>
        </w:rPr>
        <w:t>Downes,</w:t>
      </w:r>
      <w:r w:rsidR="00DA4EC6">
        <w:rPr>
          <w:lang w:val="en-US"/>
        </w:rPr>
        <w:t xml:space="preserve"> P</w:t>
      </w:r>
      <w:r w:rsidR="001177BB">
        <w:rPr>
          <w:lang w:val="en-US"/>
        </w:rPr>
        <w:t>.</w:t>
      </w:r>
      <w:r w:rsidR="009805DB" w:rsidRPr="0060107A">
        <w:rPr>
          <w:lang w:val="en-US"/>
        </w:rPr>
        <w:t xml:space="preserve"> 2014. </w:t>
      </w:r>
      <w:r w:rsidRPr="0060107A">
        <w:rPr>
          <w:i/>
          <w:iCs/>
          <w:lang w:val="en-US"/>
        </w:rPr>
        <w:t>Access to Education in Europe: A Framework and Agenda for System Change.</w:t>
      </w:r>
      <w:r w:rsidRPr="0060107A">
        <w:rPr>
          <w:lang w:val="en-US"/>
        </w:rPr>
        <w:t xml:space="preserve"> Lifelong Learning Series, Aspin, D</w:t>
      </w:r>
      <w:r w:rsidR="009805DB" w:rsidRPr="0060107A">
        <w:rPr>
          <w:lang w:val="en-US"/>
        </w:rPr>
        <w:t>.</w:t>
      </w:r>
      <w:r w:rsidRPr="0060107A">
        <w:rPr>
          <w:lang w:val="en-US"/>
        </w:rPr>
        <w:t xml:space="preserve"> N., Chapman, J</w:t>
      </w:r>
      <w:r w:rsidR="009805DB" w:rsidRPr="0060107A">
        <w:rPr>
          <w:lang w:val="en-US"/>
        </w:rPr>
        <w:t>.</w:t>
      </w:r>
      <w:r w:rsidRPr="0060107A">
        <w:rPr>
          <w:lang w:val="en-US"/>
        </w:rPr>
        <w:t xml:space="preserve"> D. </w:t>
      </w:r>
      <w:r w:rsidR="009805DB" w:rsidRPr="0060107A">
        <w:rPr>
          <w:lang w:val="en-US"/>
        </w:rPr>
        <w:t>(</w:t>
      </w:r>
      <w:r w:rsidR="00A401BA">
        <w:rPr>
          <w:lang w:val="en-US"/>
        </w:rPr>
        <w:t>red</w:t>
      </w:r>
      <w:r w:rsidR="009805DB" w:rsidRPr="0060107A">
        <w:rPr>
          <w:lang w:val="en-US"/>
        </w:rPr>
        <w:t xml:space="preserve">.) </w:t>
      </w:r>
      <w:r w:rsidRPr="0060107A">
        <w:rPr>
          <w:lang w:val="en-US"/>
        </w:rPr>
        <w:t>Dordrecht</w:t>
      </w:r>
      <w:r w:rsidR="009805DB" w:rsidRPr="0060107A">
        <w:rPr>
          <w:lang w:val="en-US"/>
        </w:rPr>
        <w:t>:</w:t>
      </w:r>
      <w:r w:rsidRPr="0060107A">
        <w:rPr>
          <w:lang w:val="en-US"/>
        </w:rPr>
        <w:t xml:space="preserve"> Springer Verlag.</w:t>
      </w:r>
    </w:p>
    <w:p w14:paraId="28C5CA30" w14:textId="061DE938" w:rsidR="00426D35" w:rsidRPr="0060107A" w:rsidRDefault="00426D35" w:rsidP="00DA4EC6">
      <w:pPr>
        <w:pStyle w:val="Agency-body-text"/>
        <w:jc w:val="both"/>
        <w:rPr>
          <w:lang w:val="en-US"/>
        </w:rPr>
      </w:pPr>
      <w:r w:rsidRPr="0060107A">
        <w:rPr>
          <w:lang w:val="en-US"/>
        </w:rPr>
        <w:t xml:space="preserve">Downes, </w:t>
      </w:r>
      <w:r w:rsidR="00DA4EC6">
        <w:rPr>
          <w:lang w:val="en-US"/>
        </w:rPr>
        <w:t>P</w:t>
      </w:r>
      <w:r w:rsidR="001177BB">
        <w:rPr>
          <w:lang w:val="en-US"/>
        </w:rPr>
        <w:t>.</w:t>
      </w:r>
      <w:r w:rsidR="009805DB" w:rsidRPr="0060107A">
        <w:rPr>
          <w:lang w:val="en-US"/>
        </w:rPr>
        <w:t xml:space="preserve"> 2014a.</w:t>
      </w:r>
      <w:r w:rsidRPr="0060107A">
        <w:rPr>
          <w:lang w:val="en-US"/>
        </w:rPr>
        <w:t xml:space="preserve"> </w:t>
      </w:r>
      <w:r w:rsidRPr="0060107A">
        <w:rPr>
          <w:i/>
          <w:iCs/>
          <w:lang w:val="en-US"/>
        </w:rPr>
        <w:t>Towards a Differentiated, Holistic and Systemic Approach to Parental Involvement in Europe for Early School Leaving Prevention</w:t>
      </w:r>
      <w:r w:rsidR="009805DB" w:rsidRPr="0060107A">
        <w:rPr>
          <w:lang w:val="en-US"/>
        </w:rPr>
        <w:t>.</w:t>
      </w:r>
      <w:r w:rsidRPr="0060107A">
        <w:rPr>
          <w:lang w:val="en-US"/>
        </w:rPr>
        <w:t xml:space="preserve"> European </w:t>
      </w:r>
      <w:r w:rsidR="009805DB" w:rsidRPr="0060107A">
        <w:rPr>
          <w:lang w:val="en-US"/>
        </w:rPr>
        <w:t>Union</w:t>
      </w:r>
      <w:r w:rsidRPr="0060107A">
        <w:rPr>
          <w:lang w:val="en-US"/>
        </w:rPr>
        <w:t xml:space="preserve"> Urbact Prevent</w:t>
      </w:r>
      <w:r w:rsidR="009805DB" w:rsidRPr="0060107A">
        <w:rPr>
          <w:lang w:val="en-US"/>
        </w:rPr>
        <w:t xml:space="preserve"> Project.</w:t>
      </w:r>
      <w:r w:rsidR="00842759" w:rsidRPr="0060107A">
        <w:rPr>
          <w:lang w:val="en-US"/>
        </w:rPr>
        <w:t xml:space="preserve"> </w:t>
      </w:r>
      <w:r w:rsidRPr="0060107A">
        <w:rPr>
          <w:lang w:val="en-US"/>
        </w:rPr>
        <w:t>Paris</w:t>
      </w:r>
      <w:r w:rsidR="009805DB" w:rsidRPr="0060107A">
        <w:rPr>
          <w:lang w:val="en-US"/>
        </w:rPr>
        <w:t>: Urbact/Prevent.</w:t>
      </w:r>
    </w:p>
    <w:p w14:paraId="46EA4E8E" w14:textId="130A0CC1" w:rsidR="00426D35" w:rsidRPr="0060107A" w:rsidRDefault="00426D35" w:rsidP="00DA4EC6">
      <w:pPr>
        <w:pStyle w:val="Agency-body-text"/>
        <w:jc w:val="both"/>
        <w:rPr>
          <w:lang w:val="en-US"/>
        </w:rPr>
      </w:pPr>
      <w:r w:rsidRPr="0060107A">
        <w:rPr>
          <w:lang w:val="en-US"/>
        </w:rPr>
        <w:t xml:space="preserve">Downes, </w:t>
      </w:r>
      <w:r w:rsidR="00DA4EC6">
        <w:rPr>
          <w:lang w:val="en-US"/>
        </w:rPr>
        <w:t>P</w:t>
      </w:r>
      <w:r w:rsidR="001177BB">
        <w:rPr>
          <w:lang w:val="en-US"/>
        </w:rPr>
        <w:t>.</w:t>
      </w:r>
      <w:r w:rsidR="009805DB" w:rsidRPr="0060107A">
        <w:rPr>
          <w:lang w:val="en-US"/>
        </w:rPr>
        <w:t xml:space="preserve"> 2015.</w:t>
      </w:r>
      <w:r w:rsidRPr="0060107A">
        <w:rPr>
          <w:lang w:val="en-US"/>
        </w:rPr>
        <w:t xml:space="preserve"> </w:t>
      </w:r>
      <w:r w:rsidRPr="0060107A">
        <w:rPr>
          <w:i/>
          <w:iCs/>
          <w:lang w:val="en-US"/>
        </w:rPr>
        <w:t>Quality labels and structural indicators for social inclusion in schools – including relational systems for parental involvement and one-stop shop community centres</w:t>
      </w:r>
      <w:r w:rsidR="009805DB" w:rsidRPr="0060107A">
        <w:rPr>
          <w:lang w:val="en-US"/>
        </w:rPr>
        <w:t>.</w:t>
      </w:r>
      <w:r w:rsidRPr="0060107A">
        <w:rPr>
          <w:lang w:val="en-US"/>
        </w:rPr>
        <w:t xml:space="preserve"> Invited presentation, EU Commission Schools Policy Group, June 4-5, 2015, Rue Joseph II, Brussels.</w:t>
      </w:r>
    </w:p>
    <w:p w14:paraId="25D4837E" w14:textId="0167931A" w:rsidR="00426D35" w:rsidRPr="0060107A" w:rsidRDefault="00426D35" w:rsidP="00DA4EC6">
      <w:pPr>
        <w:pStyle w:val="Agency-body-text"/>
        <w:jc w:val="both"/>
        <w:rPr>
          <w:lang w:val="en-US"/>
        </w:rPr>
      </w:pPr>
      <w:r w:rsidRPr="0060107A">
        <w:rPr>
          <w:lang w:val="en-US"/>
        </w:rPr>
        <w:t xml:space="preserve">Downes, </w:t>
      </w:r>
      <w:r w:rsidR="00DA4EC6">
        <w:rPr>
          <w:lang w:val="en-US"/>
        </w:rPr>
        <w:t>P</w:t>
      </w:r>
      <w:r w:rsidR="001177BB">
        <w:rPr>
          <w:lang w:val="en-US"/>
        </w:rPr>
        <w:t>.</w:t>
      </w:r>
      <w:r w:rsidRPr="0060107A">
        <w:rPr>
          <w:lang w:val="en-US"/>
        </w:rPr>
        <w:t>,</w:t>
      </w:r>
      <w:r w:rsidR="006B708E" w:rsidRPr="0060107A">
        <w:rPr>
          <w:lang w:val="en-US"/>
        </w:rPr>
        <w:t xml:space="preserve"> </w:t>
      </w:r>
      <w:r w:rsidRPr="0060107A">
        <w:rPr>
          <w:lang w:val="en-US"/>
        </w:rPr>
        <w:t>Nairz-Wirth, E., Rusinaitė, V.</w:t>
      </w:r>
      <w:r w:rsidR="009805DB" w:rsidRPr="0060107A">
        <w:rPr>
          <w:lang w:val="en-US"/>
        </w:rPr>
        <w:t xml:space="preserve"> 2017.</w:t>
      </w:r>
      <w:r w:rsidRPr="0060107A">
        <w:rPr>
          <w:lang w:val="en-US"/>
        </w:rPr>
        <w:t xml:space="preserve"> </w:t>
      </w:r>
      <w:r w:rsidRPr="0060107A">
        <w:rPr>
          <w:i/>
          <w:iCs/>
          <w:lang w:val="en-US"/>
        </w:rPr>
        <w:t>Structural Indicators for Inclusive Systems in and around Schools</w:t>
      </w:r>
      <w:r w:rsidRPr="0060107A">
        <w:rPr>
          <w:lang w:val="en-US"/>
        </w:rPr>
        <w:t>, NESET II report, Luxembourg: Publications Office of the European Union</w:t>
      </w:r>
      <w:r w:rsidR="009805DB" w:rsidRPr="0060107A">
        <w:rPr>
          <w:lang w:val="en-US"/>
        </w:rPr>
        <w:t>.</w:t>
      </w:r>
      <w:r w:rsidRPr="0060107A">
        <w:rPr>
          <w:lang w:val="en-US"/>
        </w:rPr>
        <w:t xml:space="preserve"> </w:t>
      </w:r>
    </w:p>
    <w:p w14:paraId="64C52D72" w14:textId="279F4ECB" w:rsidR="00426D35" w:rsidRPr="0060107A" w:rsidRDefault="00426D35" w:rsidP="00DA4EC6">
      <w:pPr>
        <w:pStyle w:val="Agency-body-text"/>
        <w:jc w:val="both"/>
        <w:rPr>
          <w:szCs w:val="24"/>
          <w:lang w:val="en-US"/>
        </w:rPr>
      </w:pPr>
      <w:r w:rsidRPr="0060107A">
        <w:rPr>
          <w:lang w:val="en-US"/>
        </w:rPr>
        <w:t>Ebersold, S. Meijer, C. 2016. Financing inclusive education: Policy challenges, issues and trends</w:t>
      </w:r>
      <w:r w:rsidR="00DA4EC6">
        <w:rPr>
          <w:lang w:val="en-US"/>
        </w:rPr>
        <w:t>, w:</w:t>
      </w:r>
      <w:r w:rsidRPr="0060107A">
        <w:rPr>
          <w:lang w:val="en-US"/>
        </w:rPr>
        <w:t xml:space="preserve"> A. Watkins, C. Meijer </w:t>
      </w:r>
      <w:r w:rsidR="009805DB" w:rsidRPr="0060107A">
        <w:rPr>
          <w:lang w:val="en-US"/>
        </w:rPr>
        <w:t>(</w:t>
      </w:r>
      <w:r w:rsidR="00A401BA">
        <w:rPr>
          <w:lang w:val="en-US"/>
        </w:rPr>
        <w:t>red.</w:t>
      </w:r>
      <w:r w:rsidR="009805DB" w:rsidRPr="0060107A">
        <w:rPr>
          <w:lang w:val="en-US"/>
        </w:rPr>
        <w:t>)</w:t>
      </w:r>
      <w:r w:rsidRPr="0060107A">
        <w:rPr>
          <w:lang w:val="en-US"/>
        </w:rPr>
        <w:t xml:space="preserve">. </w:t>
      </w:r>
      <w:r w:rsidRPr="0060107A">
        <w:rPr>
          <w:i/>
          <w:iCs/>
          <w:lang w:val="en-US"/>
        </w:rPr>
        <w:t>Implementing Inclusive education: Issues in bridging the policy-practice ga</w:t>
      </w:r>
      <w:r w:rsidR="001177BB">
        <w:rPr>
          <w:i/>
          <w:iCs/>
          <w:lang w:val="en-US"/>
        </w:rPr>
        <w:t>str.</w:t>
      </w:r>
      <w:r w:rsidR="00842759" w:rsidRPr="0060107A">
        <w:rPr>
          <w:i/>
          <w:iCs/>
          <w:lang w:val="en-US"/>
        </w:rPr>
        <w:t xml:space="preserve"> </w:t>
      </w:r>
      <w:r w:rsidRPr="0060107A">
        <w:rPr>
          <w:i/>
          <w:iCs/>
          <w:lang w:val="en-US"/>
        </w:rPr>
        <w:t>International perspectives on Inclusive Education</w:t>
      </w:r>
      <w:r w:rsidR="00FC6288" w:rsidRPr="0060107A">
        <w:rPr>
          <w:lang w:val="en-US"/>
        </w:rPr>
        <w:t>,</w:t>
      </w:r>
      <w:r w:rsidR="00A401BA">
        <w:rPr>
          <w:lang w:val="en-US"/>
        </w:rPr>
        <w:t xml:space="preserve"> tom</w:t>
      </w:r>
      <w:r w:rsidR="009805DB" w:rsidRPr="0060107A">
        <w:rPr>
          <w:lang w:val="en-US"/>
        </w:rPr>
        <w:t>.</w:t>
      </w:r>
      <w:r w:rsidRPr="0060107A">
        <w:rPr>
          <w:lang w:val="en-US"/>
        </w:rPr>
        <w:t xml:space="preserve"> 8. Bingley: </w:t>
      </w:r>
      <w:r w:rsidRPr="0060107A">
        <w:rPr>
          <w:szCs w:val="24"/>
          <w:lang w:val="en-US"/>
        </w:rPr>
        <w:t>Emerald.</w:t>
      </w:r>
    </w:p>
    <w:p w14:paraId="7B6D62D9" w14:textId="77777777" w:rsidR="00426D35" w:rsidRPr="0060107A" w:rsidRDefault="00426D35" w:rsidP="00DA4EC6">
      <w:pPr>
        <w:pStyle w:val="Agency-body-text"/>
        <w:jc w:val="both"/>
        <w:rPr>
          <w:szCs w:val="24"/>
          <w:lang w:val="en-US"/>
        </w:rPr>
      </w:pPr>
      <w:r w:rsidRPr="0060107A">
        <w:rPr>
          <w:szCs w:val="24"/>
          <w:lang w:val="en-US"/>
        </w:rPr>
        <w:t xml:space="preserve">European Agency for Development in Special Needs Education, 2011. </w:t>
      </w:r>
      <w:r w:rsidRPr="0060107A">
        <w:rPr>
          <w:i/>
          <w:iCs/>
          <w:szCs w:val="24"/>
          <w:lang w:val="en-US"/>
        </w:rPr>
        <w:t xml:space="preserve">Mapping the Implementation of Policy for Inclusive Education: An exploration of challenges and opportunities for developing indicators. </w:t>
      </w:r>
      <w:r w:rsidRPr="0060107A">
        <w:rPr>
          <w:szCs w:val="24"/>
          <w:lang w:val="en-US"/>
        </w:rPr>
        <w:t xml:space="preserve">Odense, Denmark: European Agency for Development in Special Needs Education </w:t>
      </w:r>
    </w:p>
    <w:p w14:paraId="2E762960" w14:textId="39376444" w:rsidR="00426D35" w:rsidRPr="0060107A" w:rsidRDefault="00426D35" w:rsidP="00DA4EC6">
      <w:pPr>
        <w:pStyle w:val="Agency-body-text"/>
        <w:jc w:val="both"/>
        <w:rPr>
          <w:szCs w:val="24"/>
          <w:lang w:val="en-US"/>
        </w:rPr>
      </w:pPr>
      <w:r w:rsidRPr="0060107A">
        <w:rPr>
          <w:szCs w:val="24"/>
          <w:lang w:val="en-US"/>
        </w:rPr>
        <w:t xml:space="preserve">European Agency for Development in Special Needs Education, 2012. </w:t>
      </w:r>
      <w:r w:rsidRPr="0060107A">
        <w:rPr>
          <w:i/>
          <w:iCs/>
          <w:szCs w:val="24"/>
          <w:lang w:val="en-US"/>
        </w:rPr>
        <w:t>Profile of Inclusive Teachers</w:t>
      </w:r>
      <w:r w:rsidR="00A07F05" w:rsidRPr="0060107A">
        <w:rPr>
          <w:i/>
          <w:iCs/>
          <w:szCs w:val="24"/>
          <w:lang w:val="en-US"/>
        </w:rPr>
        <w:t>.</w:t>
      </w:r>
      <w:r w:rsidRPr="0060107A">
        <w:rPr>
          <w:szCs w:val="24"/>
          <w:lang w:val="en-US"/>
        </w:rPr>
        <w:t xml:space="preserve"> Odense, Denmark European Agency for Development in Special Needs Education</w:t>
      </w:r>
      <w:r w:rsidR="00FC6288" w:rsidRPr="0060107A">
        <w:rPr>
          <w:szCs w:val="24"/>
          <w:lang w:val="en-US"/>
        </w:rPr>
        <w:t>.</w:t>
      </w:r>
    </w:p>
    <w:p w14:paraId="061E1C2C" w14:textId="37480C71" w:rsidR="00426D35" w:rsidRPr="0060107A" w:rsidRDefault="00426D35" w:rsidP="00DA4EC6">
      <w:pPr>
        <w:pStyle w:val="Agency-body-text"/>
        <w:jc w:val="both"/>
        <w:rPr>
          <w:szCs w:val="24"/>
          <w:lang w:val="en-US"/>
        </w:rPr>
      </w:pPr>
      <w:r w:rsidRPr="0060107A">
        <w:rPr>
          <w:rFonts w:cs="Calibri"/>
          <w:szCs w:val="24"/>
          <w:lang w:val="en-US"/>
        </w:rPr>
        <w:t>European Agency for Special Needs and Inclusive Education,</w:t>
      </w:r>
      <w:r w:rsidR="00A401BA">
        <w:rPr>
          <w:rFonts w:cs="Calibri"/>
          <w:szCs w:val="24"/>
          <w:lang w:val="en-US"/>
        </w:rPr>
        <w:t xml:space="preserve"> </w:t>
      </w:r>
      <w:r w:rsidRPr="0060107A">
        <w:rPr>
          <w:rFonts w:cs="Calibri"/>
          <w:szCs w:val="24"/>
          <w:lang w:val="en-US"/>
        </w:rPr>
        <w:t>2014a</w:t>
      </w:r>
      <w:r w:rsidR="009805DB" w:rsidRPr="0060107A">
        <w:rPr>
          <w:rFonts w:cs="Calibri"/>
          <w:szCs w:val="24"/>
          <w:lang w:val="en-US"/>
        </w:rPr>
        <w:t>.</w:t>
      </w:r>
      <w:r w:rsidRPr="0060107A">
        <w:rPr>
          <w:rFonts w:cs="Calibri"/>
          <w:szCs w:val="24"/>
          <w:lang w:val="en-US"/>
        </w:rPr>
        <w:t xml:space="preserve"> </w:t>
      </w:r>
      <w:r w:rsidRPr="0060107A">
        <w:rPr>
          <w:rFonts w:cs="Calibri"/>
          <w:i/>
          <w:iCs/>
          <w:szCs w:val="24"/>
          <w:lang w:val="en-US"/>
        </w:rPr>
        <w:t>Education for All: Special needs and inclusive education in Malta. Annex 2: Desk research report</w:t>
      </w:r>
      <w:r w:rsidRPr="0060107A">
        <w:rPr>
          <w:rFonts w:cs="Calibri"/>
          <w:szCs w:val="24"/>
          <w:lang w:val="en-US"/>
        </w:rPr>
        <w:t>. Odense</w:t>
      </w:r>
      <w:r w:rsidR="009805DB" w:rsidRPr="0060107A">
        <w:rPr>
          <w:rFonts w:cs="Calibri"/>
          <w:szCs w:val="24"/>
          <w:lang w:val="en-US"/>
        </w:rPr>
        <w:t>,</w:t>
      </w:r>
      <w:r w:rsidRPr="0060107A">
        <w:rPr>
          <w:rFonts w:cs="Calibri"/>
          <w:szCs w:val="24"/>
          <w:lang w:val="en-US"/>
        </w:rPr>
        <w:t xml:space="preserve"> Denmark European Agency</w:t>
      </w:r>
      <w:r w:rsidR="00A07F05" w:rsidRPr="0060107A">
        <w:rPr>
          <w:rFonts w:cs="Calibri"/>
          <w:szCs w:val="24"/>
          <w:lang w:val="en-US"/>
        </w:rPr>
        <w:t xml:space="preserve"> </w:t>
      </w:r>
      <w:r w:rsidR="00A07F05" w:rsidRPr="0060107A">
        <w:rPr>
          <w:szCs w:val="24"/>
          <w:lang w:val="en-US"/>
        </w:rPr>
        <w:t>for Special Needs and Inclusive Education</w:t>
      </w:r>
      <w:r w:rsidR="00FC6288" w:rsidRPr="0060107A">
        <w:rPr>
          <w:szCs w:val="24"/>
          <w:lang w:val="en-US"/>
        </w:rPr>
        <w:t>.</w:t>
      </w:r>
    </w:p>
    <w:p w14:paraId="4C2B84B9" w14:textId="200B2167" w:rsidR="00426D35" w:rsidRPr="0060107A" w:rsidRDefault="00426D35" w:rsidP="00DA4EC6">
      <w:pPr>
        <w:pStyle w:val="Agency-body-text"/>
        <w:jc w:val="both"/>
        <w:rPr>
          <w:szCs w:val="24"/>
          <w:lang w:val="en-US"/>
        </w:rPr>
      </w:pPr>
      <w:r w:rsidRPr="0060107A">
        <w:rPr>
          <w:szCs w:val="24"/>
          <w:lang w:val="en-US"/>
        </w:rPr>
        <w:lastRenderedPageBreak/>
        <w:t>European Agency for Special Needs and Inclusive Education, 2014b.</w:t>
      </w:r>
      <w:r w:rsidRPr="0060107A">
        <w:rPr>
          <w:i/>
          <w:iCs/>
          <w:szCs w:val="24"/>
          <w:lang w:val="en-US"/>
        </w:rPr>
        <w:t xml:space="preserve"> Five Key Messages for Inclusive Education. Putting Theory into Practic</w:t>
      </w:r>
      <w:r w:rsidRPr="0060107A">
        <w:rPr>
          <w:szCs w:val="24"/>
          <w:lang w:val="en-US"/>
        </w:rPr>
        <w:t>e. Odense, Denmark: European Agency for Special Needs and Inclusive Education</w:t>
      </w:r>
      <w:r w:rsidR="00FC6288" w:rsidRPr="0060107A">
        <w:rPr>
          <w:szCs w:val="24"/>
          <w:lang w:val="en-US"/>
        </w:rPr>
        <w:t>.</w:t>
      </w:r>
    </w:p>
    <w:p w14:paraId="3C8F84A6" w14:textId="7A36713F" w:rsidR="00426D35" w:rsidRPr="0060107A" w:rsidRDefault="00426D35" w:rsidP="00DA4EC6">
      <w:pPr>
        <w:pStyle w:val="NormalWeb"/>
        <w:jc w:val="both"/>
        <w:rPr>
          <w:lang w:val="en-US"/>
        </w:rPr>
      </w:pPr>
      <w:r w:rsidRPr="0060107A">
        <w:rPr>
          <w:rFonts w:ascii="Calibri" w:hAnsi="Calibri" w:cs="Calibri"/>
          <w:lang w:val="en-US"/>
        </w:rPr>
        <w:t xml:space="preserve">European Agency for Special Needs and Inclusive Education, 2015. </w:t>
      </w:r>
      <w:r w:rsidRPr="0060107A">
        <w:rPr>
          <w:rFonts w:ascii="Calibri" w:hAnsi="Calibri" w:cs="Calibri"/>
          <w:i/>
          <w:iCs/>
          <w:lang w:val="en-US"/>
        </w:rPr>
        <w:t>Empowering Teachers to Promote Inclusive Education. Literature Review</w:t>
      </w:r>
      <w:r w:rsidRPr="0060107A">
        <w:rPr>
          <w:rFonts w:ascii="Calibri" w:hAnsi="Calibri" w:cs="Calibri"/>
          <w:lang w:val="en-US"/>
        </w:rPr>
        <w:t>. Odense, Denmark: European Agency for Special Needs and Inclusive Education</w:t>
      </w:r>
      <w:r w:rsidR="00FC6288" w:rsidRPr="0060107A">
        <w:rPr>
          <w:rFonts w:ascii="Calibri" w:hAnsi="Calibri" w:cs="Calibri"/>
          <w:lang w:val="en-US"/>
        </w:rPr>
        <w:t>.</w:t>
      </w:r>
      <w:r w:rsidRPr="0060107A">
        <w:rPr>
          <w:rFonts w:ascii="Calibri" w:hAnsi="Calibri" w:cs="Calibri"/>
          <w:lang w:val="en-US"/>
        </w:rPr>
        <w:t xml:space="preserve"> </w:t>
      </w:r>
    </w:p>
    <w:p w14:paraId="68E0AD2B" w14:textId="1FD0CFED" w:rsidR="00426D35" w:rsidRPr="0060107A" w:rsidRDefault="00426D35" w:rsidP="00DA4EC6">
      <w:pPr>
        <w:pStyle w:val="Agency-body-text"/>
        <w:jc w:val="both"/>
        <w:rPr>
          <w:szCs w:val="24"/>
          <w:lang w:val="en-US"/>
        </w:rPr>
      </w:pPr>
      <w:r w:rsidRPr="0060107A">
        <w:rPr>
          <w:szCs w:val="24"/>
          <w:lang w:val="en-US"/>
        </w:rPr>
        <w:t>European Agency for Special Needs and Inclusive Education 2016a</w:t>
      </w:r>
      <w:r w:rsidR="009805DB" w:rsidRPr="0060107A">
        <w:rPr>
          <w:szCs w:val="24"/>
          <w:lang w:val="en-US"/>
        </w:rPr>
        <w:t>.</w:t>
      </w:r>
      <w:r w:rsidR="00C43F70" w:rsidRPr="0060107A">
        <w:rPr>
          <w:szCs w:val="24"/>
          <w:lang w:val="en-US"/>
        </w:rPr>
        <w:t xml:space="preserve"> </w:t>
      </w:r>
      <w:r w:rsidRPr="0060107A">
        <w:rPr>
          <w:i/>
          <w:iCs/>
          <w:szCs w:val="24"/>
          <w:lang w:val="en-US"/>
        </w:rPr>
        <w:t xml:space="preserve">Financing of Inclusive </w:t>
      </w:r>
      <w:r w:rsidR="009805DB" w:rsidRPr="0060107A">
        <w:rPr>
          <w:i/>
          <w:iCs/>
          <w:szCs w:val="24"/>
          <w:lang w:val="en-US"/>
        </w:rPr>
        <w:t>E</w:t>
      </w:r>
      <w:r w:rsidRPr="0060107A">
        <w:rPr>
          <w:i/>
          <w:iCs/>
          <w:szCs w:val="24"/>
          <w:lang w:val="en-US"/>
        </w:rPr>
        <w:t>ducation: Background Information Report</w:t>
      </w:r>
      <w:r w:rsidRPr="0060107A">
        <w:rPr>
          <w:szCs w:val="24"/>
          <w:lang w:val="en-US"/>
        </w:rPr>
        <w:t>. Odense, Denmark European Agency</w:t>
      </w:r>
      <w:r w:rsidR="00A07F05" w:rsidRPr="0060107A">
        <w:rPr>
          <w:szCs w:val="24"/>
          <w:lang w:val="en-US"/>
        </w:rPr>
        <w:t xml:space="preserve"> </w:t>
      </w:r>
      <w:r w:rsidR="00A07F05" w:rsidRPr="0060107A">
        <w:rPr>
          <w:lang w:val="en-US"/>
        </w:rPr>
        <w:t>(A. Mangiaracina,</w:t>
      </w:r>
      <w:r w:rsidR="00943FCC">
        <w:rPr>
          <w:lang w:val="en-US"/>
        </w:rPr>
        <w:t xml:space="preserve"> red</w:t>
      </w:r>
      <w:r w:rsidR="00A07F05" w:rsidRPr="0060107A">
        <w:rPr>
          <w:lang w:val="en-US"/>
        </w:rPr>
        <w:t>.).</w:t>
      </w:r>
    </w:p>
    <w:p w14:paraId="0E6034CC" w14:textId="2C608E63" w:rsidR="00426D35" w:rsidRPr="0060107A" w:rsidRDefault="00426D35" w:rsidP="00DA4EC6">
      <w:pPr>
        <w:pStyle w:val="Agency-body-text"/>
        <w:jc w:val="both"/>
        <w:rPr>
          <w:szCs w:val="24"/>
          <w:lang w:val="en-US"/>
        </w:rPr>
      </w:pPr>
      <w:r w:rsidRPr="0060107A">
        <w:rPr>
          <w:szCs w:val="24"/>
          <w:lang w:val="en-US"/>
        </w:rPr>
        <w:t>European Agency for Special Needs and Inclusive Education, 2016</w:t>
      </w:r>
      <w:r w:rsidR="009805DB" w:rsidRPr="0060107A">
        <w:rPr>
          <w:szCs w:val="24"/>
          <w:lang w:val="en-US"/>
        </w:rPr>
        <w:t xml:space="preserve"> </w:t>
      </w:r>
      <w:r w:rsidRPr="0060107A">
        <w:rPr>
          <w:szCs w:val="24"/>
          <w:lang w:val="en-US"/>
        </w:rPr>
        <w:t>b</w:t>
      </w:r>
      <w:r w:rsidRPr="0060107A">
        <w:rPr>
          <w:i/>
          <w:iCs/>
          <w:szCs w:val="24"/>
          <w:lang w:val="en-US"/>
        </w:rPr>
        <w:t>. Inclusive Early Childhood Education: An analysis of 32 European examples</w:t>
      </w:r>
      <w:r w:rsidRPr="0060107A">
        <w:rPr>
          <w:szCs w:val="24"/>
          <w:lang w:val="en-US"/>
        </w:rPr>
        <w:t>. (</w:t>
      </w:r>
      <w:r w:rsidR="001177BB">
        <w:rPr>
          <w:szCs w:val="24"/>
          <w:lang w:val="en-US"/>
        </w:rPr>
        <w:t>STR.</w:t>
      </w:r>
      <w:r w:rsidRPr="0060107A">
        <w:rPr>
          <w:szCs w:val="24"/>
          <w:lang w:val="en-US"/>
        </w:rPr>
        <w:t xml:space="preserve"> Bartolo, E. Bjorck-Akesson, C. Giné and M. Kyriazopoulou,</w:t>
      </w:r>
      <w:r w:rsidR="00943FCC">
        <w:rPr>
          <w:szCs w:val="24"/>
          <w:lang w:val="en-US"/>
        </w:rPr>
        <w:t xml:space="preserve"> red</w:t>
      </w:r>
      <w:r w:rsidRPr="0060107A">
        <w:rPr>
          <w:szCs w:val="24"/>
          <w:lang w:val="en-US"/>
        </w:rPr>
        <w:t>.). Odense, Denmark.</w:t>
      </w:r>
    </w:p>
    <w:p w14:paraId="1BD63859" w14:textId="3294D344" w:rsidR="00426D35" w:rsidRPr="0060107A" w:rsidRDefault="00426D35" w:rsidP="00DA4EC6">
      <w:pPr>
        <w:pStyle w:val="Agency-body-text"/>
        <w:jc w:val="both"/>
        <w:rPr>
          <w:szCs w:val="24"/>
          <w:lang w:val="en-US"/>
        </w:rPr>
      </w:pPr>
      <w:r w:rsidRPr="0060107A">
        <w:rPr>
          <w:szCs w:val="24"/>
          <w:lang w:val="en-US"/>
        </w:rPr>
        <w:t xml:space="preserve">European Agency for Special Needs and Inclusive Education, 2017a. </w:t>
      </w:r>
      <w:r w:rsidRPr="0060107A">
        <w:rPr>
          <w:i/>
          <w:iCs/>
          <w:szCs w:val="24"/>
          <w:lang w:val="en-US"/>
        </w:rPr>
        <w:t>Raising the Achievement of All Learners: A Resource to Support Self-Review</w:t>
      </w:r>
      <w:r w:rsidRPr="0060107A">
        <w:rPr>
          <w:szCs w:val="24"/>
          <w:lang w:val="en-US"/>
        </w:rPr>
        <w:t xml:space="preserve">. (V.J. Donnelly </w:t>
      </w:r>
      <w:r w:rsidR="00943FCC">
        <w:rPr>
          <w:szCs w:val="24"/>
          <w:lang w:val="en-US"/>
        </w:rPr>
        <w:t xml:space="preserve">i </w:t>
      </w:r>
      <w:r w:rsidRPr="0060107A">
        <w:rPr>
          <w:szCs w:val="24"/>
          <w:lang w:val="en-US"/>
        </w:rPr>
        <w:t>A. Kefallinou,</w:t>
      </w:r>
      <w:r w:rsidR="00943FCC">
        <w:rPr>
          <w:szCs w:val="24"/>
          <w:lang w:val="en-US"/>
        </w:rPr>
        <w:t xml:space="preserve"> red</w:t>
      </w:r>
      <w:r w:rsidRPr="0060107A">
        <w:rPr>
          <w:szCs w:val="24"/>
          <w:lang w:val="en-US"/>
        </w:rPr>
        <w:t>.). Odense, Denmark</w:t>
      </w:r>
      <w:r w:rsidR="00FC6288" w:rsidRPr="0060107A">
        <w:rPr>
          <w:szCs w:val="24"/>
          <w:lang w:val="en-US"/>
        </w:rPr>
        <w:t>.</w:t>
      </w:r>
    </w:p>
    <w:p w14:paraId="043C77B1" w14:textId="3D890123" w:rsidR="00426D35" w:rsidRPr="0060107A" w:rsidRDefault="00426D35" w:rsidP="00DA4EC6">
      <w:pPr>
        <w:pStyle w:val="Agency-body-text"/>
        <w:jc w:val="both"/>
        <w:rPr>
          <w:lang w:val="en-US"/>
        </w:rPr>
      </w:pPr>
      <w:r w:rsidRPr="0060107A">
        <w:rPr>
          <w:lang w:val="en-US"/>
        </w:rPr>
        <w:t xml:space="preserve">European Agency for Special Needs and Inclusive Education 2017b. </w:t>
      </w:r>
      <w:r w:rsidRPr="0060107A">
        <w:rPr>
          <w:i/>
          <w:iCs/>
          <w:lang w:val="en-US"/>
        </w:rPr>
        <w:t>Raising the achievement of all learners in inclusive education: Final summary report</w:t>
      </w:r>
      <w:r w:rsidRPr="0060107A">
        <w:rPr>
          <w:lang w:val="en-US"/>
        </w:rPr>
        <w:t xml:space="preserve">. In V. J. Donnelly </w:t>
      </w:r>
      <w:r w:rsidR="00943FCC">
        <w:rPr>
          <w:lang w:val="en-US"/>
        </w:rPr>
        <w:t>i</w:t>
      </w:r>
      <w:r w:rsidRPr="0060107A">
        <w:rPr>
          <w:lang w:val="en-US"/>
        </w:rPr>
        <w:t xml:space="preserve"> A. Kefallinou (</w:t>
      </w:r>
      <w:r w:rsidR="00943FCC">
        <w:rPr>
          <w:lang w:val="en-US"/>
        </w:rPr>
        <w:t>red</w:t>
      </w:r>
      <w:r w:rsidRPr="0060107A">
        <w:rPr>
          <w:lang w:val="en-US"/>
        </w:rPr>
        <w:t>.). Odense, Denmark: European Agency for Special Needs and Inclusive Education</w:t>
      </w:r>
      <w:r w:rsidR="00FC6288" w:rsidRPr="0060107A">
        <w:rPr>
          <w:lang w:val="en-US"/>
        </w:rPr>
        <w:t>.</w:t>
      </w:r>
    </w:p>
    <w:p w14:paraId="1EC86E1C" w14:textId="4459F03A" w:rsidR="00426D35" w:rsidRPr="0060107A" w:rsidRDefault="00426D35" w:rsidP="00DA4EC6">
      <w:pPr>
        <w:pStyle w:val="Agency-body-text"/>
        <w:jc w:val="both"/>
        <w:rPr>
          <w:lang w:val="en-US"/>
        </w:rPr>
      </w:pPr>
      <w:r w:rsidRPr="0060107A">
        <w:rPr>
          <w:lang w:val="en-US"/>
        </w:rPr>
        <w:t>European Agency for Special Needs and Inclusive Education, 2018a</w:t>
      </w:r>
      <w:r w:rsidR="00A07F05" w:rsidRPr="0060107A">
        <w:rPr>
          <w:lang w:val="en-US"/>
        </w:rPr>
        <w:t>.</w:t>
      </w:r>
      <w:r w:rsidRPr="0060107A">
        <w:rPr>
          <w:lang w:val="en-US"/>
        </w:rPr>
        <w:t xml:space="preserve"> </w:t>
      </w:r>
      <w:r w:rsidRPr="0060107A">
        <w:rPr>
          <w:i/>
          <w:iCs/>
          <w:lang w:val="en-US"/>
        </w:rPr>
        <w:t>Evidence of the Link Between Inclusive Education and Social Inclusion: Final Summary Report</w:t>
      </w:r>
      <w:r w:rsidRPr="0060107A">
        <w:rPr>
          <w:lang w:val="en-US"/>
        </w:rPr>
        <w:t>. (S. Symeonidou,</w:t>
      </w:r>
      <w:r w:rsidR="00943FCC">
        <w:rPr>
          <w:lang w:val="en-US"/>
        </w:rPr>
        <w:t xml:space="preserve"> red</w:t>
      </w:r>
      <w:r w:rsidRPr="0060107A">
        <w:rPr>
          <w:lang w:val="en-US"/>
        </w:rPr>
        <w:t>.). Odense, Denmark</w:t>
      </w:r>
      <w:r w:rsidR="00FC6288" w:rsidRPr="0060107A">
        <w:rPr>
          <w:lang w:val="en-US"/>
        </w:rPr>
        <w:t>.</w:t>
      </w:r>
      <w:r w:rsidRPr="0060107A">
        <w:rPr>
          <w:lang w:val="en-US"/>
        </w:rPr>
        <w:t xml:space="preserve"> </w:t>
      </w:r>
    </w:p>
    <w:p w14:paraId="0A34F37A" w14:textId="6ACF4EA6" w:rsidR="00426D35" w:rsidRPr="0060107A" w:rsidRDefault="00426D35" w:rsidP="00DA4EC6">
      <w:pPr>
        <w:pStyle w:val="Agency-body-text"/>
        <w:jc w:val="both"/>
        <w:rPr>
          <w:lang w:val="en-US"/>
        </w:rPr>
      </w:pPr>
      <w:r w:rsidRPr="0060107A">
        <w:rPr>
          <w:lang w:val="en-US"/>
        </w:rPr>
        <w:t>European Agency for Special Needs and Inclusive Education</w:t>
      </w:r>
      <w:r w:rsidR="00534B48" w:rsidRPr="0060107A">
        <w:rPr>
          <w:lang w:val="en-US"/>
        </w:rPr>
        <w:t>,</w:t>
      </w:r>
      <w:r w:rsidRPr="0060107A">
        <w:rPr>
          <w:lang w:val="en-US"/>
        </w:rPr>
        <w:t xml:space="preserve"> 2018b</w:t>
      </w:r>
      <w:r w:rsidR="00534B48" w:rsidRPr="0060107A">
        <w:rPr>
          <w:lang w:val="en-US"/>
        </w:rPr>
        <w:t>.</w:t>
      </w:r>
      <w:r w:rsidRPr="0060107A">
        <w:rPr>
          <w:lang w:val="en-US"/>
        </w:rPr>
        <w:t xml:space="preserve"> </w:t>
      </w:r>
      <w:r w:rsidRPr="0060107A">
        <w:rPr>
          <w:i/>
          <w:iCs/>
          <w:lang w:val="en-US"/>
        </w:rPr>
        <w:t>Financing Policies for Inclusive Education Systems: Resourcing Levers to Reduce Disparity in Education</w:t>
      </w:r>
      <w:r w:rsidRPr="0060107A">
        <w:rPr>
          <w:lang w:val="en-US"/>
        </w:rPr>
        <w:t xml:space="preserve">. </w:t>
      </w:r>
      <w:r w:rsidR="00534B48" w:rsidRPr="0060107A">
        <w:rPr>
          <w:lang w:val="en-US"/>
        </w:rPr>
        <w:t>(</w:t>
      </w:r>
      <w:r w:rsidRPr="0060107A">
        <w:rPr>
          <w:lang w:val="en-US"/>
        </w:rPr>
        <w:t xml:space="preserve">S. Ebersold, E. </w:t>
      </w:r>
      <w:r w:rsidRPr="0060107A">
        <w:rPr>
          <w:sz w:val="23"/>
          <w:szCs w:val="23"/>
          <w:lang w:val="en-US"/>
        </w:rPr>
        <w:t>Óskarsdóttir, A. Watkins (</w:t>
      </w:r>
      <w:r w:rsidR="00943FCC">
        <w:rPr>
          <w:sz w:val="23"/>
          <w:szCs w:val="23"/>
          <w:lang w:val="en-US"/>
        </w:rPr>
        <w:t>red</w:t>
      </w:r>
      <w:r w:rsidRPr="0060107A">
        <w:rPr>
          <w:sz w:val="23"/>
          <w:szCs w:val="23"/>
          <w:lang w:val="en-US"/>
        </w:rPr>
        <w:t>.). Odense, Denmark European Agency for Special Needs and Inclusive Education</w:t>
      </w:r>
      <w:r w:rsidR="00FC6288" w:rsidRPr="0060107A">
        <w:rPr>
          <w:sz w:val="23"/>
          <w:szCs w:val="23"/>
          <w:lang w:val="en-US"/>
        </w:rPr>
        <w:t>.</w:t>
      </w:r>
    </w:p>
    <w:p w14:paraId="2C6D57DA" w14:textId="3C22FA00" w:rsidR="00426D35" w:rsidRPr="0060107A" w:rsidRDefault="00426D35" w:rsidP="00DA4EC6">
      <w:pPr>
        <w:pStyle w:val="Agency-body-text"/>
        <w:jc w:val="both"/>
        <w:rPr>
          <w:lang w:val="en-US"/>
        </w:rPr>
      </w:pPr>
      <w:r w:rsidRPr="0060107A">
        <w:rPr>
          <w:rFonts w:cs="Calibri"/>
          <w:lang w:val="en-US"/>
        </w:rPr>
        <w:t>European Agency for Special Needs and Inclusive Education, 2018c</w:t>
      </w:r>
      <w:r w:rsidRPr="0060107A">
        <w:rPr>
          <w:rFonts w:cs="Calibri"/>
          <w:i/>
          <w:iCs/>
          <w:lang w:val="en-US"/>
        </w:rPr>
        <w:t>. Key Actions for Raising Achievement: Guidance for Teachers and Leaders.</w:t>
      </w:r>
      <w:r w:rsidRPr="0060107A">
        <w:rPr>
          <w:rFonts w:cs="Calibri"/>
          <w:lang w:val="en-US"/>
        </w:rPr>
        <w:t xml:space="preserve"> (V. Donnelly </w:t>
      </w:r>
      <w:r w:rsidR="00943FCC">
        <w:rPr>
          <w:rFonts w:cs="Calibri"/>
          <w:lang w:val="en-US"/>
        </w:rPr>
        <w:t xml:space="preserve">i </w:t>
      </w:r>
      <w:r w:rsidRPr="0060107A">
        <w:rPr>
          <w:rFonts w:cs="Calibri"/>
          <w:lang w:val="en-US"/>
        </w:rPr>
        <w:t>A. Kefallinou,</w:t>
      </w:r>
      <w:r w:rsidR="00943FCC">
        <w:rPr>
          <w:rFonts w:cs="Calibri"/>
          <w:lang w:val="en-US"/>
        </w:rPr>
        <w:t xml:space="preserve"> red</w:t>
      </w:r>
      <w:r w:rsidRPr="0060107A">
        <w:rPr>
          <w:rFonts w:cs="Calibri"/>
          <w:lang w:val="en-US"/>
        </w:rPr>
        <w:t>.). Odense, Denmark</w:t>
      </w:r>
      <w:r w:rsidR="00FC6288" w:rsidRPr="0060107A">
        <w:rPr>
          <w:rFonts w:cs="Calibri"/>
          <w:lang w:val="en-US"/>
        </w:rPr>
        <w:t>.</w:t>
      </w:r>
      <w:r w:rsidRPr="0060107A">
        <w:rPr>
          <w:rFonts w:cs="Calibri"/>
          <w:lang w:val="en-US"/>
        </w:rPr>
        <w:t xml:space="preserve"> </w:t>
      </w:r>
    </w:p>
    <w:p w14:paraId="79D01970" w14:textId="70C11D70" w:rsidR="00426D35" w:rsidRPr="0060107A" w:rsidRDefault="00426D35" w:rsidP="00DA4EC6">
      <w:pPr>
        <w:pStyle w:val="Agency-body-text"/>
        <w:jc w:val="both"/>
        <w:rPr>
          <w:rFonts w:cs="Calibri"/>
          <w:lang w:val="en-US"/>
        </w:rPr>
      </w:pPr>
      <w:r w:rsidRPr="0060107A">
        <w:rPr>
          <w:rFonts w:cs="Calibri"/>
          <w:lang w:val="en-US"/>
        </w:rPr>
        <w:t>European Agency for Special Needs and Inclusive Education, 2019a</w:t>
      </w:r>
      <w:r w:rsidR="009805DB" w:rsidRPr="0060107A">
        <w:rPr>
          <w:rFonts w:cs="Calibri"/>
          <w:lang w:val="en-US"/>
        </w:rPr>
        <w:t>.</w:t>
      </w:r>
      <w:r w:rsidRPr="0060107A">
        <w:rPr>
          <w:rFonts w:cs="Calibri"/>
          <w:lang w:val="en-US"/>
        </w:rPr>
        <w:t xml:space="preserve"> </w:t>
      </w:r>
      <w:r w:rsidRPr="0060107A">
        <w:rPr>
          <w:rFonts w:cs="Calibri"/>
          <w:i/>
          <w:iCs/>
          <w:lang w:val="en-US"/>
        </w:rPr>
        <w:t>Teacher Professional Learning for Inclusion: Literature Review</w:t>
      </w:r>
      <w:r w:rsidRPr="0060107A">
        <w:rPr>
          <w:rFonts w:cs="Calibri"/>
          <w:lang w:val="en-US"/>
        </w:rPr>
        <w:t xml:space="preserve">. (A. De Vroey, S. Symeonidou and A. Watkins, eds.). Odense, Denmark </w:t>
      </w:r>
    </w:p>
    <w:p w14:paraId="3F6CD653" w14:textId="131E64D7" w:rsidR="00426D35" w:rsidRPr="0060107A" w:rsidRDefault="00426D35" w:rsidP="00DA4EC6">
      <w:pPr>
        <w:pStyle w:val="Agency-body-text"/>
        <w:jc w:val="both"/>
        <w:rPr>
          <w:rFonts w:cs="Calibri"/>
          <w:lang w:val="en-US"/>
        </w:rPr>
      </w:pPr>
      <w:r w:rsidRPr="0060107A">
        <w:rPr>
          <w:rFonts w:cs="Calibri"/>
          <w:lang w:val="en-US"/>
        </w:rPr>
        <w:t xml:space="preserve">European Agency for Special Needs and Inclusive Education, 2019b. </w:t>
      </w:r>
      <w:r w:rsidRPr="0060107A">
        <w:rPr>
          <w:rFonts w:cs="Calibri"/>
          <w:i/>
          <w:iCs/>
          <w:lang w:val="en-US"/>
        </w:rPr>
        <w:t>Changing Role of Specialist Provision in Supporting Inclusive Education: Mapping Specialist Provision Approaches in European Countries</w:t>
      </w:r>
      <w:r w:rsidRPr="0060107A">
        <w:rPr>
          <w:rFonts w:cs="Calibri"/>
          <w:lang w:val="en-US"/>
        </w:rPr>
        <w:t xml:space="preserve">. (S. Ebersold, M. Kyriazopoulou, A. Kefallinou </w:t>
      </w:r>
      <w:r w:rsidR="00943FCC">
        <w:rPr>
          <w:rFonts w:cs="Calibri"/>
          <w:lang w:val="en-US"/>
        </w:rPr>
        <w:t xml:space="preserve">i </w:t>
      </w:r>
      <w:r w:rsidRPr="0060107A">
        <w:rPr>
          <w:rFonts w:cs="Calibri"/>
          <w:lang w:val="en-US"/>
        </w:rPr>
        <w:t>E. Rebollo Píriz,</w:t>
      </w:r>
      <w:r w:rsidR="00943FCC">
        <w:rPr>
          <w:rFonts w:cs="Calibri"/>
          <w:lang w:val="en-US"/>
        </w:rPr>
        <w:t xml:space="preserve"> red</w:t>
      </w:r>
      <w:r w:rsidRPr="0060107A">
        <w:rPr>
          <w:rFonts w:cs="Calibri"/>
          <w:lang w:val="en-US"/>
        </w:rPr>
        <w:t>.). Odense, Denmark</w:t>
      </w:r>
      <w:r w:rsidR="00FC6288" w:rsidRPr="0060107A">
        <w:rPr>
          <w:rFonts w:cs="Calibri"/>
          <w:lang w:val="en-US"/>
        </w:rPr>
        <w:t>.</w:t>
      </w:r>
      <w:r w:rsidRPr="0060107A">
        <w:rPr>
          <w:rFonts w:cs="Calibri"/>
          <w:lang w:val="en-US"/>
        </w:rPr>
        <w:t xml:space="preserve"> </w:t>
      </w:r>
    </w:p>
    <w:p w14:paraId="6BD88397" w14:textId="5C8E097A" w:rsidR="00280F59" w:rsidRPr="0060107A" w:rsidRDefault="00280F59" w:rsidP="00DA4EC6">
      <w:pPr>
        <w:pStyle w:val="Agency-body-text"/>
        <w:jc w:val="both"/>
        <w:rPr>
          <w:lang w:val="en-US"/>
        </w:rPr>
      </w:pPr>
      <w:r w:rsidRPr="0060107A">
        <w:rPr>
          <w:lang w:val="en-US"/>
        </w:rPr>
        <w:t>European Commission, 2020a</w:t>
      </w:r>
      <w:r w:rsidR="00836D20" w:rsidRPr="0060107A">
        <w:rPr>
          <w:lang w:val="en-US"/>
        </w:rPr>
        <w:t>.</w:t>
      </w:r>
      <w:r w:rsidRPr="0060107A">
        <w:rPr>
          <w:lang w:val="en-US"/>
        </w:rPr>
        <w:t xml:space="preserve"> </w:t>
      </w:r>
      <w:r w:rsidRPr="0060107A">
        <w:rPr>
          <w:rFonts w:cs="Calibri"/>
          <w:lang w:val="en-US"/>
        </w:rPr>
        <w:t>Communication from the Commission to the European Parliament, the Council, the European Economic and Social Committee and the Committee of the Regions</w:t>
      </w:r>
      <w:r w:rsidR="00836D20" w:rsidRPr="0060107A">
        <w:rPr>
          <w:lang w:val="en-US"/>
        </w:rPr>
        <w:t xml:space="preserve">. </w:t>
      </w:r>
      <w:r w:rsidRPr="0060107A">
        <w:rPr>
          <w:i/>
          <w:iCs/>
          <w:lang w:val="en-US"/>
        </w:rPr>
        <w:t>Achieving the European Education Area by 2025.</w:t>
      </w:r>
      <w:r w:rsidRPr="0060107A">
        <w:rPr>
          <w:lang w:val="en-US"/>
        </w:rPr>
        <w:t xml:space="preserve"> Brussels</w:t>
      </w:r>
      <w:r w:rsidR="002051E8" w:rsidRPr="0060107A">
        <w:rPr>
          <w:lang w:val="en-US"/>
        </w:rPr>
        <w:t>,</w:t>
      </w:r>
      <w:r w:rsidRPr="0060107A">
        <w:rPr>
          <w:lang w:val="en-US"/>
        </w:rPr>
        <w:t xml:space="preserve"> 30.9.2020 COM</w:t>
      </w:r>
      <w:r w:rsidR="00836D20" w:rsidRPr="0060107A">
        <w:rPr>
          <w:lang w:val="en-US"/>
        </w:rPr>
        <w:t xml:space="preserve"> </w:t>
      </w:r>
      <w:r w:rsidRPr="0060107A">
        <w:rPr>
          <w:lang w:val="en-US"/>
        </w:rPr>
        <w:t>(2020) 625 final</w:t>
      </w:r>
      <w:r w:rsidR="002051E8" w:rsidRPr="0060107A">
        <w:rPr>
          <w:lang w:val="en-US"/>
        </w:rPr>
        <w:t>.</w:t>
      </w:r>
    </w:p>
    <w:p w14:paraId="7AB24C2A" w14:textId="6C3D3A9A" w:rsidR="00280F59" w:rsidRPr="0060107A" w:rsidRDefault="00280F59" w:rsidP="00DA4EC6">
      <w:pPr>
        <w:pStyle w:val="Agency-body-text"/>
        <w:jc w:val="both"/>
        <w:rPr>
          <w:rFonts w:cs="Calibri"/>
          <w:lang w:val="en-US"/>
        </w:rPr>
      </w:pPr>
    </w:p>
    <w:p w14:paraId="6DD355DF" w14:textId="3AF1C908" w:rsidR="00184950" w:rsidRPr="0060107A" w:rsidRDefault="00184950" w:rsidP="00DA4EC6">
      <w:pPr>
        <w:pStyle w:val="Agency-body-text"/>
        <w:jc w:val="both"/>
        <w:rPr>
          <w:lang w:val="en-US"/>
        </w:rPr>
      </w:pPr>
      <w:r w:rsidRPr="0060107A">
        <w:rPr>
          <w:rFonts w:cs="Calibri"/>
          <w:lang w:val="en-US"/>
        </w:rPr>
        <w:lastRenderedPageBreak/>
        <w:t>European Commission, 2020</w:t>
      </w:r>
      <w:r w:rsidR="00280F59" w:rsidRPr="0060107A">
        <w:rPr>
          <w:rFonts w:cs="Calibri"/>
          <w:lang w:val="en-US"/>
        </w:rPr>
        <w:t>b</w:t>
      </w:r>
      <w:r w:rsidRPr="0060107A">
        <w:rPr>
          <w:rFonts w:cs="Calibri"/>
          <w:lang w:val="en-US"/>
        </w:rPr>
        <w:t xml:space="preserve">. Communication from the Commission to the European Parliament, the Council, the European Economic and Social Committee and the Committee of the Regions. </w:t>
      </w:r>
      <w:r w:rsidRPr="0060107A">
        <w:rPr>
          <w:rFonts w:cs="Calibri"/>
          <w:i/>
          <w:iCs/>
          <w:lang w:val="en-US"/>
        </w:rPr>
        <w:t>Action Plan on Integration and Inclusion 2021-2027</w:t>
      </w:r>
      <w:r w:rsidRPr="0060107A">
        <w:rPr>
          <w:rFonts w:cs="Calibri"/>
          <w:lang w:val="en-US"/>
        </w:rPr>
        <w:t>. Brussels, 24.11.2020 COM (2020) 758 final.</w:t>
      </w:r>
    </w:p>
    <w:p w14:paraId="4D66F2B6" w14:textId="5F859619" w:rsidR="00426D35" w:rsidRPr="0060107A" w:rsidRDefault="00426D35" w:rsidP="00DA4EC6">
      <w:pPr>
        <w:pStyle w:val="Agency-body-text"/>
        <w:jc w:val="both"/>
        <w:rPr>
          <w:lang w:val="en-US"/>
        </w:rPr>
      </w:pPr>
      <w:r w:rsidRPr="0060107A">
        <w:rPr>
          <w:lang w:val="en-US"/>
        </w:rPr>
        <w:t xml:space="preserve">European Commission, EACEA/Eurydice, 2020. </w:t>
      </w:r>
      <w:r w:rsidRPr="0060107A">
        <w:rPr>
          <w:i/>
          <w:iCs/>
          <w:lang w:val="en-US"/>
        </w:rPr>
        <w:t>Equity in school education in Europe: Structures, policies and student performance</w:t>
      </w:r>
      <w:r w:rsidRPr="0060107A">
        <w:rPr>
          <w:lang w:val="en-US"/>
        </w:rPr>
        <w:t xml:space="preserve">. Eurydice Report. Luxembourg: Publications </w:t>
      </w:r>
      <w:r w:rsidR="009805DB" w:rsidRPr="0060107A">
        <w:rPr>
          <w:lang w:val="en-US"/>
        </w:rPr>
        <w:t>O</w:t>
      </w:r>
      <w:r w:rsidRPr="0060107A">
        <w:rPr>
          <w:lang w:val="en-US"/>
        </w:rPr>
        <w:t>ffice of the European Union.</w:t>
      </w:r>
    </w:p>
    <w:p w14:paraId="47784680" w14:textId="71B13439" w:rsidR="00436104" w:rsidRPr="0060107A" w:rsidRDefault="00436104" w:rsidP="00DA4EC6">
      <w:pPr>
        <w:pStyle w:val="Agency-body-text"/>
        <w:jc w:val="both"/>
        <w:rPr>
          <w:lang w:val="en-US"/>
        </w:rPr>
      </w:pPr>
      <w:r w:rsidRPr="0060107A">
        <w:rPr>
          <w:lang w:val="en-US"/>
        </w:rPr>
        <w:t>European Commission 2021</w:t>
      </w:r>
      <w:r w:rsidR="00184950" w:rsidRPr="0060107A">
        <w:rPr>
          <w:lang w:val="en-US"/>
        </w:rPr>
        <w:t>a.</w:t>
      </w:r>
      <w:r w:rsidRPr="0060107A">
        <w:rPr>
          <w:lang w:val="en-US"/>
        </w:rPr>
        <w:t xml:space="preserve"> </w:t>
      </w:r>
      <w:r w:rsidR="00A07F05" w:rsidRPr="0060107A">
        <w:rPr>
          <w:lang w:val="en-US"/>
        </w:rPr>
        <w:t>Communication</w:t>
      </w:r>
      <w:r w:rsidRPr="0060107A">
        <w:rPr>
          <w:lang w:val="en-US"/>
        </w:rPr>
        <w:t xml:space="preserve"> from the Commission to the European Parliament, the Council, the European Economic and Social Committee and the Committee of the Regions. </w:t>
      </w:r>
      <w:r w:rsidRPr="0060107A">
        <w:rPr>
          <w:i/>
          <w:iCs/>
          <w:lang w:val="en-US"/>
        </w:rPr>
        <w:t>EU Strategy on the Rights of the Child</w:t>
      </w:r>
      <w:r w:rsidRPr="0060107A">
        <w:rPr>
          <w:lang w:val="en-US"/>
        </w:rPr>
        <w:t>. Brussels, 24.3.2021 COM (2021) 142 final.</w:t>
      </w:r>
    </w:p>
    <w:p w14:paraId="08D2AE9D" w14:textId="4EFCB820" w:rsidR="00436104" w:rsidRPr="0060107A" w:rsidRDefault="00436104" w:rsidP="00DA4EC6">
      <w:pPr>
        <w:pStyle w:val="Agency-body-text"/>
        <w:jc w:val="both"/>
        <w:rPr>
          <w:lang w:val="en-US"/>
        </w:rPr>
      </w:pPr>
      <w:r w:rsidRPr="0060107A">
        <w:rPr>
          <w:lang w:val="en-US"/>
        </w:rPr>
        <w:t>European Commission 2021</w:t>
      </w:r>
      <w:r w:rsidR="00184950" w:rsidRPr="0060107A">
        <w:rPr>
          <w:lang w:val="en-US"/>
        </w:rPr>
        <w:t>b.</w:t>
      </w:r>
      <w:r w:rsidRPr="0060107A">
        <w:rPr>
          <w:lang w:val="en-US"/>
        </w:rPr>
        <w:t xml:space="preserve"> </w:t>
      </w:r>
      <w:r w:rsidRPr="0060107A">
        <w:rPr>
          <w:i/>
          <w:iCs/>
          <w:lang w:val="en-US"/>
        </w:rPr>
        <w:t>Proposal for a Council Recommendation establishing the European Child Guarantee</w:t>
      </w:r>
      <w:r w:rsidR="00A07F05" w:rsidRPr="0060107A">
        <w:rPr>
          <w:i/>
          <w:iCs/>
          <w:lang w:val="en-US"/>
        </w:rPr>
        <w:t>.</w:t>
      </w:r>
      <w:r w:rsidRPr="0060107A">
        <w:rPr>
          <w:lang w:val="en-US"/>
        </w:rPr>
        <w:t xml:space="preserve"> Brussels, 24.3.2021 COM (20201) 137 final.</w:t>
      </w:r>
    </w:p>
    <w:p w14:paraId="6D3A0CC4" w14:textId="7BCD2424" w:rsidR="00184950" w:rsidRPr="0060107A" w:rsidRDefault="00184950" w:rsidP="00DA4EC6">
      <w:pPr>
        <w:pStyle w:val="Agency-body-text"/>
        <w:jc w:val="both"/>
        <w:rPr>
          <w:lang w:val="en-US"/>
        </w:rPr>
      </w:pPr>
      <w:r w:rsidRPr="0060107A">
        <w:rPr>
          <w:lang w:val="en-US"/>
        </w:rPr>
        <w:t xml:space="preserve">European Commission 2021c. Communication from the Commission to the European Parliament, the Council, the European Economic and Social Committee and the Committee of the Regions. </w:t>
      </w:r>
      <w:r w:rsidRPr="0060107A">
        <w:rPr>
          <w:i/>
          <w:iCs/>
          <w:lang w:val="en-US"/>
        </w:rPr>
        <w:t>Union of Equality: Strategy for the Rights of Persons with Disabilities 2021-2030</w:t>
      </w:r>
      <w:r w:rsidRPr="0060107A">
        <w:rPr>
          <w:lang w:val="en-US"/>
        </w:rPr>
        <w:t xml:space="preserve"> Brussels, 3.3.2021</w:t>
      </w:r>
      <w:r w:rsidR="009805DB" w:rsidRPr="0060107A">
        <w:rPr>
          <w:lang w:val="en-US"/>
        </w:rPr>
        <w:t xml:space="preserve">. </w:t>
      </w:r>
      <w:r w:rsidRPr="0060107A">
        <w:rPr>
          <w:lang w:val="en-US"/>
        </w:rPr>
        <w:t>COM (2021) 101 final</w:t>
      </w:r>
      <w:r w:rsidR="00FC6288" w:rsidRPr="0060107A">
        <w:rPr>
          <w:lang w:val="en-US"/>
        </w:rPr>
        <w:t>.</w:t>
      </w:r>
    </w:p>
    <w:p w14:paraId="4304E05B" w14:textId="5A9BAEC2" w:rsidR="00426D35" w:rsidRPr="0060107A" w:rsidRDefault="00426D35" w:rsidP="00DA4EC6">
      <w:pPr>
        <w:pStyle w:val="Agency-body-text"/>
        <w:jc w:val="both"/>
        <w:rPr>
          <w:color w:val="auto"/>
          <w:lang w:val="en-US"/>
        </w:rPr>
      </w:pPr>
      <w:r w:rsidRPr="0060107A">
        <w:rPr>
          <w:color w:val="auto"/>
          <w:lang w:val="en-US"/>
        </w:rPr>
        <w:t>European Union, 2012.</w:t>
      </w:r>
      <w:r w:rsidR="006B708E" w:rsidRPr="0060107A">
        <w:rPr>
          <w:color w:val="auto"/>
          <w:lang w:val="en-US"/>
        </w:rPr>
        <w:t xml:space="preserve"> </w:t>
      </w:r>
      <w:r w:rsidRPr="0060107A">
        <w:rPr>
          <w:i/>
          <w:iCs/>
          <w:color w:val="auto"/>
          <w:lang w:val="en-US"/>
        </w:rPr>
        <w:t>Charter of Fundamental Rights of the European Union</w:t>
      </w:r>
      <w:r w:rsidRPr="0060107A">
        <w:rPr>
          <w:color w:val="auto"/>
          <w:lang w:val="en-US"/>
        </w:rPr>
        <w:t xml:space="preserve"> 2012/C 326/02</w:t>
      </w:r>
      <w:r w:rsidR="00FC6288" w:rsidRPr="0060107A">
        <w:rPr>
          <w:color w:val="auto"/>
          <w:lang w:val="en-US"/>
        </w:rPr>
        <w:t>.</w:t>
      </w:r>
    </w:p>
    <w:p w14:paraId="2D1FD9FA" w14:textId="3FFB879A" w:rsidR="00426D35" w:rsidRPr="0060107A" w:rsidRDefault="00426D35" w:rsidP="00DA4EC6">
      <w:pPr>
        <w:pStyle w:val="Agency-body-text"/>
        <w:jc w:val="both"/>
        <w:rPr>
          <w:lang w:val="en-US"/>
        </w:rPr>
      </w:pPr>
      <w:r w:rsidRPr="0060107A">
        <w:rPr>
          <w:lang w:val="en-US"/>
        </w:rPr>
        <w:t>Florian, L., Black-Hawkins, K.</w:t>
      </w:r>
      <w:r w:rsidR="00943FCC">
        <w:rPr>
          <w:lang w:val="en-US"/>
        </w:rPr>
        <w:t xml:space="preserve"> i </w:t>
      </w:r>
      <w:r w:rsidRPr="0060107A">
        <w:rPr>
          <w:lang w:val="en-US"/>
        </w:rPr>
        <w:t xml:space="preserve">Rouse, M. 2016. </w:t>
      </w:r>
      <w:r w:rsidRPr="0060107A">
        <w:rPr>
          <w:i/>
          <w:iCs/>
          <w:lang w:val="en-US"/>
        </w:rPr>
        <w:t>Achievement and Inclusion in Schools</w:t>
      </w:r>
      <w:r w:rsidRPr="0060107A">
        <w:rPr>
          <w:lang w:val="en-US"/>
        </w:rPr>
        <w:t>, 2nd edition. London, Routledge.</w:t>
      </w:r>
    </w:p>
    <w:p w14:paraId="39FA25BC" w14:textId="17B8EABA" w:rsidR="00426D35" w:rsidRPr="0060107A" w:rsidRDefault="00426D35" w:rsidP="00DA4EC6">
      <w:pPr>
        <w:pStyle w:val="Agency-body-text"/>
        <w:jc w:val="both"/>
        <w:rPr>
          <w:lang w:val="en-US"/>
        </w:rPr>
      </w:pPr>
      <w:r w:rsidRPr="0060107A">
        <w:rPr>
          <w:color w:val="000000"/>
          <w:sz w:val="23"/>
          <w:szCs w:val="23"/>
          <w:lang w:val="en-US"/>
        </w:rPr>
        <w:t xml:space="preserve">Gilbert, C., 2012. </w:t>
      </w:r>
      <w:r w:rsidRPr="0060107A">
        <w:rPr>
          <w:i/>
          <w:iCs/>
          <w:color w:val="000000"/>
          <w:sz w:val="23"/>
          <w:szCs w:val="23"/>
          <w:lang w:val="en-US"/>
        </w:rPr>
        <w:t xml:space="preserve">Towards a self-improving system: the role of school accountability. </w:t>
      </w:r>
      <w:r w:rsidRPr="0060107A">
        <w:rPr>
          <w:color w:val="000000"/>
          <w:sz w:val="23"/>
          <w:szCs w:val="23"/>
          <w:lang w:val="en-US"/>
        </w:rPr>
        <w:t>Nottingham: NCSL</w:t>
      </w:r>
      <w:r w:rsidR="00FC6288" w:rsidRPr="0060107A">
        <w:rPr>
          <w:color w:val="000000"/>
          <w:sz w:val="23"/>
          <w:szCs w:val="23"/>
          <w:lang w:val="en-US"/>
        </w:rPr>
        <w:t>.</w:t>
      </w:r>
    </w:p>
    <w:p w14:paraId="4C8675F0" w14:textId="726AABB5" w:rsidR="00426D35" w:rsidRPr="0060107A" w:rsidRDefault="00426D35" w:rsidP="00DA4EC6">
      <w:pPr>
        <w:pStyle w:val="Agency-body-text"/>
        <w:jc w:val="both"/>
        <w:rPr>
          <w:lang w:val="en-US"/>
        </w:rPr>
      </w:pPr>
      <w:r w:rsidRPr="0060107A">
        <w:rPr>
          <w:lang w:val="en-US"/>
        </w:rPr>
        <w:t>Graham, L. (</w:t>
      </w:r>
      <w:r w:rsidR="00943FCC">
        <w:rPr>
          <w:lang w:val="en-US"/>
        </w:rPr>
        <w:t>red</w:t>
      </w:r>
      <w:r w:rsidRPr="0060107A">
        <w:rPr>
          <w:lang w:val="en-US"/>
        </w:rPr>
        <w:t xml:space="preserve">.) 2020. </w:t>
      </w:r>
      <w:r w:rsidRPr="0060107A">
        <w:rPr>
          <w:i/>
          <w:iCs/>
          <w:lang w:val="en-US"/>
        </w:rPr>
        <w:t>Inclusive education for the 21st century: Theory, policy and practice.</w:t>
      </w:r>
      <w:r w:rsidRPr="0060107A">
        <w:rPr>
          <w:lang w:val="en-US"/>
        </w:rPr>
        <w:t xml:space="preserve"> Sydney: Allen &amp; Unwin.</w:t>
      </w:r>
    </w:p>
    <w:p w14:paraId="5D674D74" w14:textId="590BB9B3" w:rsidR="00426D35" w:rsidRPr="000B67E1" w:rsidRDefault="00426D35" w:rsidP="00DA4EC6">
      <w:pPr>
        <w:pStyle w:val="Agency-body-text"/>
        <w:jc w:val="both"/>
        <w:rPr>
          <w:lang w:val="en-GB"/>
        </w:rPr>
      </w:pPr>
      <w:r w:rsidRPr="0060107A">
        <w:rPr>
          <w:lang w:val="en-US"/>
        </w:rPr>
        <w:t>Harlen, W. 2014</w:t>
      </w:r>
      <w:r w:rsidR="00184950" w:rsidRPr="0060107A">
        <w:rPr>
          <w:lang w:val="en-US"/>
        </w:rPr>
        <w:t>.</w:t>
      </w:r>
      <w:r w:rsidRPr="0060107A">
        <w:rPr>
          <w:lang w:val="en-US"/>
        </w:rPr>
        <w:t xml:space="preserve"> </w:t>
      </w:r>
      <w:r w:rsidRPr="0060107A">
        <w:rPr>
          <w:i/>
          <w:iCs/>
          <w:lang w:val="en-US"/>
        </w:rPr>
        <w:t>Assessment, Standards and Quality of Learning in Primary Education (CPRT Research Survey 1)</w:t>
      </w:r>
      <w:r w:rsidR="009805DB" w:rsidRPr="0060107A">
        <w:rPr>
          <w:i/>
          <w:iCs/>
          <w:lang w:val="en-US"/>
        </w:rPr>
        <w:t xml:space="preserve">. </w:t>
      </w:r>
      <w:r w:rsidRPr="000B67E1">
        <w:rPr>
          <w:lang w:val="en-GB"/>
        </w:rPr>
        <w:t>York: Cambridge Primary Review Trust.</w:t>
      </w:r>
    </w:p>
    <w:p w14:paraId="5F13501A" w14:textId="7BB21699" w:rsidR="00426D35" w:rsidRPr="0060107A" w:rsidRDefault="00426D35" w:rsidP="00DA4EC6">
      <w:pPr>
        <w:pStyle w:val="Agency-body-text"/>
        <w:jc w:val="both"/>
        <w:rPr>
          <w:lang w:val="en-US"/>
        </w:rPr>
      </w:pPr>
      <w:r w:rsidRPr="0060107A">
        <w:rPr>
          <w:lang w:val="en-US"/>
        </w:rPr>
        <w:t>Human Rights Council</w:t>
      </w:r>
      <w:r w:rsidR="009805DB" w:rsidRPr="0060107A">
        <w:rPr>
          <w:lang w:val="en-US"/>
        </w:rPr>
        <w:t xml:space="preserve">, </w:t>
      </w:r>
      <w:r w:rsidRPr="0060107A">
        <w:rPr>
          <w:lang w:val="en-US"/>
        </w:rPr>
        <w:t xml:space="preserve">2019. </w:t>
      </w:r>
      <w:r w:rsidRPr="0060107A">
        <w:rPr>
          <w:i/>
          <w:iCs/>
          <w:lang w:val="en-US"/>
        </w:rPr>
        <w:t>Empowering children with disabilities for the enjoyment of their human rights, including through inclusive education</w:t>
      </w:r>
      <w:r w:rsidRPr="0060107A">
        <w:rPr>
          <w:lang w:val="en-US"/>
        </w:rPr>
        <w:t xml:space="preserve">. Report of the UN High Commissioner for Human Rights. Human Rights Council Fortieth Session, UN General Assembly </w:t>
      </w:r>
      <w:r w:rsidR="00FC6288" w:rsidRPr="0060107A">
        <w:rPr>
          <w:lang w:val="en-US"/>
        </w:rPr>
        <w:t>.</w:t>
      </w:r>
    </w:p>
    <w:p w14:paraId="02F4E40B" w14:textId="7094B0EC" w:rsidR="00426D35" w:rsidRPr="0060107A" w:rsidRDefault="00426D35" w:rsidP="00DA4EC6">
      <w:pPr>
        <w:pStyle w:val="Agency-body-text"/>
        <w:jc w:val="both"/>
        <w:rPr>
          <w:lang w:val="en-US"/>
        </w:rPr>
      </w:pPr>
      <w:r w:rsidRPr="0060107A">
        <w:rPr>
          <w:lang w:val="en-US"/>
        </w:rPr>
        <w:t>Inclusion Europe</w:t>
      </w:r>
      <w:r w:rsidR="009805DB" w:rsidRPr="0060107A">
        <w:rPr>
          <w:lang w:val="en-US"/>
        </w:rPr>
        <w:t xml:space="preserve">, </w:t>
      </w:r>
      <w:r w:rsidRPr="0060107A">
        <w:rPr>
          <w:lang w:val="en-US"/>
        </w:rPr>
        <w:t>2018</w:t>
      </w:r>
      <w:r w:rsidR="009805DB" w:rsidRPr="0060107A">
        <w:rPr>
          <w:lang w:val="en-US"/>
        </w:rPr>
        <w:t>.</w:t>
      </w:r>
      <w:r w:rsidRPr="0060107A">
        <w:rPr>
          <w:lang w:val="en-US"/>
        </w:rPr>
        <w:t xml:space="preserve"> </w:t>
      </w:r>
      <w:r w:rsidRPr="0060107A">
        <w:rPr>
          <w:i/>
          <w:iCs/>
          <w:lang w:val="en-US"/>
        </w:rPr>
        <w:t>Exploratory study on the inclusion of pupil</w:t>
      </w:r>
      <w:r w:rsidR="009805DB" w:rsidRPr="0060107A">
        <w:rPr>
          <w:i/>
          <w:iCs/>
          <w:lang w:val="en-US"/>
        </w:rPr>
        <w:t>s</w:t>
      </w:r>
      <w:r w:rsidRPr="0060107A">
        <w:rPr>
          <w:i/>
          <w:iCs/>
          <w:lang w:val="en-US"/>
        </w:rPr>
        <w:t xml:space="preserve"> with complex support needs in mainstream schools</w:t>
      </w:r>
      <w:r w:rsidRPr="0060107A">
        <w:rPr>
          <w:lang w:val="en-US"/>
        </w:rPr>
        <w:t>. Brussels: European Association of Societies of Persons with Intellectual Disabilities and their Families</w:t>
      </w:r>
      <w:r w:rsidR="00FC6288" w:rsidRPr="0060107A">
        <w:rPr>
          <w:lang w:val="en-US"/>
        </w:rPr>
        <w:t>.</w:t>
      </w:r>
    </w:p>
    <w:p w14:paraId="07DD315F" w14:textId="5FC9DD0D" w:rsidR="00426D35" w:rsidRPr="0060107A" w:rsidRDefault="00426D35" w:rsidP="00DA4EC6">
      <w:pPr>
        <w:pStyle w:val="Agency-body-text"/>
        <w:jc w:val="both"/>
        <w:rPr>
          <w:lang w:val="en-US"/>
        </w:rPr>
      </w:pPr>
      <w:r w:rsidRPr="0060107A">
        <w:rPr>
          <w:lang w:val="en-US"/>
        </w:rPr>
        <w:t xml:space="preserve">Koren, A. 2013 </w:t>
      </w:r>
      <w:r w:rsidRPr="0060107A">
        <w:rPr>
          <w:i/>
          <w:iCs/>
          <w:lang w:val="en-US"/>
        </w:rPr>
        <w:t>Accountabilities for equity and learning.</w:t>
      </w:r>
      <w:r w:rsidRPr="0060107A">
        <w:rPr>
          <w:lang w:val="en-US"/>
        </w:rPr>
        <w:t xml:space="preserve"> Keynote article for discussion European Policy Network on School Leadership</w:t>
      </w:r>
      <w:r w:rsidR="00943FCC">
        <w:rPr>
          <w:lang w:val="en-US"/>
        </w:rPr>
        <w:t xml:space="preserve">, dostęp: </w:t>
      </w:r>
      <w:hyperlink r:id="rId11" w:history="1">
        <w:r w:rsidR="00943FCC" w:rsidRPr="001D4EAD">
          <w:rPr>
            <w:rStyle w:val="Hyperlink"/>
            <w:lang w:val="en-US"/>
          </w:rPr>
          <w:t>www.schoolleadershistr.eu</w:t>
        </w:r>
      </w:hyperlink>
      <w:r w:rsidRPr="0060107A">
        <w:rPr>
          <w:lang w:val="en-US"/>
        </w:rPr>
        <w:t xml:space="preserve"> </w:t>
      </w:r>
    </w:p>
    <w:p w14:paraId="4BBBC5E8" w14:textId="687AC1D0" w:rsidR="00426D35" w:rsidRPr="0060107A" w:rsidRDefault="00426D35" w:rsidP="00DA4EC6">
      <w:pPr>
        <w:pStyle w:val="Agency-body-text"/>
        <w:jc w:val="both"/>
        <w:rPr>
          <w:lang w:val="en-US"/>
        </w:rPr>
      </w:pPr>
      <w:r w:rsidRPr="0060107A">
        <w:rPr>
          <w:lang w:val="en-US"/>
        </w:rPr>
        <w:t xml:space="preserve">Mays, D., Jindal-Snape, D. </w:t>
      </w:r>
      <w:r w:rsidR="00943FCC">
        <w:rPr>
          <w:lang w:val="en-US"/>
        </w:rPr>
        <w:t xml:space="preserve">i </w:t>
      </w:r>
      <w:r w:rsidRPr="0060107A">
        <w:rPr>
          <w:lang w:val="en-US"/>
        </w:rPr>
        <w:t>Boyle, C. 2020. Transitions of children with additional support needs across stages</w:t>
      </w:r>
      <w:r w:rsidR="00943FCC">
        <w:rPr>
          <w:lang w:val="en-US"/>
        </w:rPr>
        <w:t xml:space="preserve">, w: </w:t>
      </w:r>
      <w:r w:rsidRPr="0060107A">
        <w:rPr>
          <w:lang w:val="en-US"/>
        </w:rPr>
        <w:t>C. Boyle, J. Anderson, A. Page</w:t>
      </w:r>
      <w:r w:rsidR="00943FCC">
        <w:rPr>
          <w:lang w:val="en-US"/>
        </w:rPr>
        <w:t xml:space="preserve"> i</w:t>
      </w:r>
      <w:r w:rsidRPr="0060107A">
        <w:rPr>
          <w:lang w:val="en-US"/>
        </w:rPr>
        <w:t xml:space="preserve"> S. Mavropoulou (</w:t>
      </w:r>
      <w:r w:rsidR="00943FCC">
        <w:rPr>
          <w:lang w:val="en-US"/>
        </w:rPr>
        <w:t>red</w:t>
      </w:r>
      <w:r w:rsidRPr="0060107A">
        <w:rPr>
          <w:lang w:val="en-US"/>
        </w:rPr>
        <w:t xml:space="preserve">.), </w:t>
      </w:r>
      <w:r w:rsidRPr="0060107A">
        <w:rPr>
          <w:i/>
          <w:iCs/>
          <w:lang w:val="en-US"/>
        </w:rPr>
        <w:t>Inclusive education: Global issues and controversies</w:t>
      </w:r>
      <w:r w:rsidRPr="0060107A">
        <w:rPr>
          <w:lang w:val="en-US"/>
        </w:rPr>
        <w:t xml:space="preserve"> (</w:t>
      </w:r>
      <w:r w:rsidR="001177BB">
        <w:rPr>
          <w:lang w:val="en-US"/>
        </w:rPr>
        <w:t>str.</w:t>
      </w:r>
      <w:r w:rsidRPr="0060107A">
        <w:rPr>
          <w:lang w:val="en-US"/>
        </w:rPr>
        <w:t xml:space="preserve"> 163–178). Leiden: Brill. </w:t>
      </w:r>
    </w:p>
    <w:p w14:paraId="7DA42F2F" w14:textId="7CCE748D" w:rsidR="00426D35" w:rsidRPr="0060107A" w:rsidRDefault="00426D35" w:rsidP="00DA4EC6">
      <w:pPr>
        <w:pStyle w:val="Agency-body-text"/>
        <w:jc w:val="both"/>
        <w:rPr>
          <w:lang w:val="en-US"/>
        </w:rPr>
      </w:pPr>
      <w:r w:rsidRPr="0060107A">
        <w:rPr>
          <w:lang w:val="en-US"/>
        </w:rPr>
        <w:lastRenderedPageBreak/>
        <w:t xml:space="preserve">Messiou, K. Ainscow, M. 2015. Engaging with the views of students; a catalyst for powerful teacher development? </w:t>
      </w:r>
      <w:r w:rsidRPr="0060107A">
        <w:rPr>
          <w:i/>
          <w:iCs/>
          <w:lang w:val="en-US"/>
        </w:rPr>
        <w:t>Teacher and Teacher Education Teaching and Teacher Education</w:t>
      </w:r>
      <w:r w:rsidRPr="0060107A">
        <w:rPr>
          <w:lang w:val="en-US"/>
        </w:rPr>
        <w:t xml:space="preserve">, </w:t>
      </w:r>
      <w:r w:rsidR="00943FCC">
        <w:rPr>
          <w:lang w:val="en-US"/>
        </w:rPr>
        <w:t xml:space="preserve">tom </w:t>
      </w:r>
      <w:r w:rsidRPr="0060107A">
        <w:rPr>
          <w:lang w:val="en-US"/>
        </w:rPr>
        <w:t>5</w:t>
      </w:r>
      <w:r w:rsidR="00943FCC">
        <w:rPr>
          <w:lang w:val="en-US"/>
        </w:rPr>
        <w:t xml:space="preserve">., </w:t>
      </w:r>
      <w:r w:rsidRPr="0060107A">
        <w:rPr>
          <w:lang w:val="en-US"/>
        </w:rPr>
        <w:t xml:space="preserve">2 </w:t>
      </w:r>
      <w:r w:rsidR="0087535E">
        <w:rPr>
          <w:lang w:val="en-US"/>
        </w:rPr>
        <w:t xml:space="preserve">October </w:t>
      </w:r>
      <w:r w:rsidRPr="0060107A">
        <w:rPr>
          <w:lang w:val="en-US"/>
        </w:rPr>
        <w:t>2015</w:t>
      </w:r>
      <w:r w:rsidR="0087535E">
        <w:rPr>
          <w:lang w:val="en-US"/>
        </w:rPr>
        <w:t>,</w:t>
      </w:r>
      <w:r w:rsidRPr="0060107A">
        <w:rPr>
          <w:lang w:val="en-US"/>
        </w:rPr>
        <w:t xml:space="preserve"> </w:t>
      </w:r>
      <w:r w:rsidR="001177BB">
        <w:rPr>
          <w:lang w:val="en-US"/>
        </w:rPr>
        <w:t>str.</w:t>
      </w:r>
      <w:r w:rsidRPr="0060107A">
        <w:rPr>
          <w:lang w:val="en-US"/>
        </w:rPr>
        <w:t xml:space="preserve"> 246-255</w:t>
      </w:r>
      <w:r w:rsidR="00FC6288" w:rsidRPr="0060107A">
        <w:rPr>
          <w:lang w:val="en-US"/>
        </w:rPr>
        <w:t>.</w:t>
      </w:r>
    </w:p>
    <w:p w14:paraId="1EB30DCB" w14:textId="141303E9" w:rsidR="00426D35" w:rsidRPr="0060107A" w:rsidRDefault="00426D35" w:rsidP="00DA4EC6">
      <w:pPr>
        <w:pStyle w:val="Agency-body-text"/>
        <w:jc w:val="both"/>
        <w:rPr>
          <w:lang w:val="en-US"/>
        </w:rPr>
      </w:pPr>
      <w:r w:rsidRPr="0060107A">
        <w:rPr>
          <w:lang w:val="en-US"/>
        </w:rPr>
        <w:t xml:space="preserve">OECD, 2010. </w:t>
      </w:r>
      <w:r w:rsidRPr="0060107A">
        <w:rPr>
          <w:i/>
          <w:iCs/>
          <w:lang w:val="en-US"/>
        </w:rPr>
        <w:t>The high cost of low educational performance: The long-run economic impact of improving PISA outcomes</w:t>
      </w:r>
      <w:r w:rsidRPr="0060107A">
        <w:rPr>
          <w:lang w:val="en-US"/>
        </w:rPr>
        <w:t>. Paris: OECD.</w:t>
      </w:r>
    </w:p>
    <w:p w14:paraId="5624F7FE" w14:textId="1B5D06B4" w:rsidR="00426D35" w:rsidRPr="0060107A" w:rsidRDefault="00426D35" w:rsidP="00DA4EC6">
      <w:pPr>
        <w:pStyle w:val="Agency-body-text"/>
        <w:jc w:val="both"/>
        <w:rPr>
          <w:lang w:val="en-US"/>
        </w:rPr>
      </w:pPr>
      <w:r w:rsidRPr="0060107A">
        <w:rPr>
          <w:lang w:val="en-US"/>
        </w:rPr>
        <w:t xml:space="preserve">OECD, 2015. </w:t>
      </w:r>
      <w:r w:rsidRPr="0060107A">
        <w:rPr>
          <w:i/>
          <w:iCs/>
          <w:lang w:val="en-US"/>
        </w:rPr>
        <w:t>Universal skills: What countries stand to gain</w:t>
      </w:r>
      <w:r w:rsidRPr="0060107A">
        <w:rPr>
          <w:lang w:val="en-US"/>
        </w:rPr>
        <w:t xml:space="preserve">. Paris: OECD. </w:t>
      </w:r>
    </w:p>
    <w:p w14:paraId="634A9D8B" w14:textId="7EAF2F98" w:rsidR="00426D35" w:rsidRPr="0060107A" w:rsidRDefault="00426D35" w:rsidP="00DA4EC6">
      <w:pPr>
        <w:pStyle w:val="Agency-body-text"/>
        <w:jc w:val="both"/>
        <w:rPr>
          <w:lang w:val="en-US"/>
        </w:rPr>
      </w:pPr>
      <w:r w:rsidRPr="0060107A">
        <w:rPr>
          <w:lang w:val="en-US"/>
        </w:rPr>
        <w:t xml:space="preserve">OECD, 2016. </w:t>
      </w:r>
      <w:r w:rsidRPr="0060107A">
        <w:rPr>
          <w:i/>
          <w:iCs/>
          <w:lang w:val="en-US"/>
        </w:rPr>
        <w:t>Low-Performing Students: Why They Fall Behind and How to Help Them Succeed.</w:t>
      </w:r>
      <w:r w:rsidRPr="0060107A">
        <w:rPr>
          <w:lang w:val="en-US"/>
        </w:rPr>
        <w:t xml:space="preserve"> PISA. Paris: OECD Publishing</w:t>
      </w:r>
      <w:r w:rsidR="00FC6288" w:rsidRPr="0060107A">
        <w:rPr>
          <w:lang w:val="en-US"/>
        </w:rPr>
        <w:t>.</w:t>
      </w:r>
    </w:p>
    <w:p w14:paraId="408AC845" w14:textId="4BE9A040" w:rsidR="00426D35" w:rsidRPr="0060107A" w:rsidRDefault="00426D35" w:rsidP="00DA4EC6">
      <w:pPr>
        <w:pStyle w:val="Agency-body-text"/>
        <w:jc w:val="both"/>
        <w:rPr>
          <w:lang w:val="en-US"/>
        </w:rPr>
      </w:pPr>
      <w:r w:rsidRPr="0060107A">
        <w:rPr>
          <w:shd w:val="clear" w:color="auto" w:fill="FFFFFF"/>
          <w:lang w:val="en-US"/>
        </w:rPr>
        <w:t>OECD, 2020.</w:t>
      </w:r>
      <w:r w:rsidRPr="0060107A">
        <w:rPr>
          <w:rStyle w:val="apple-converted-space"/>
          <w:rFonts w:ascii="Roboto" w:hAnsi="Roboto"/>
          <w:color w:val="7F7F7F"/>
          <w:sz w:val="21"/>
          <w:szCs w:val="21"/>
          <w:shd w:val="clear" w:color="auto" w:fill="FFFFFF"/>
          <w:lang w:val="en-US"/>
        </w:rPr>
        <w:t> </w:t>
      </w:r>
      <w:r w:rsidRPr="0060107A">
        <w:rPr>
          <w:i/>
          <w:iCs/>
          <w:lang w:val="en-US"/>
        </w:rPr>
        <w:t>Job Creation and Local Economic Development 2020: Rebuilding Better</w:t>
      </w:r>
      <w:r w:rsidRPr="0060107A">
        <w:rPr>
          <w:shd w:val="clear" w:color="auto" w:fill="FFFFFF"/>
          <w:lang w:val="en-US"/>
        </w:rPr>
        <w:t>. OECD Publishing, Paris.</w:t>
      </w:r>
    </w:p>
    <w:p w14:paraId="2731D2B0" w14:textId="16717D21" w:rsidR="00426D35" w:rsidRPr="0060107A" w:rsidRDefault="00426D35" w:rsidP="00DA4EC6">
      <w:pPr>
        <w:pStyle w:val="Agency-body-text"/>
        <w:jc w:val="both"/>
        <w:rPr>
          <w:lang w:val="en-US"/>
        </w:rPr>
      </w:pPr>
      <w:r w:rsidRPr="0060107A">
        <w:rPr>
          <w:lang w:val="en-US"/>
        </w:rPr>
        <w:t>Schwab, S. 2017</w:t>
      </w:r>
      <w:r w:rsidR="009805DB" w:rsidRPr="0060107A">
        <w:rPr>
          <w:lang w:val="en-US"/>
        </w:rPr>
        <w:t>.</w:t>
      </w:r>
      <w:r w:rsidRPr="0060107A">
        <w:rPr>
          <w:lang w:val="en-US"/>
        </w:rPr>
        <w:t xml:space="preserve"> The impact of contact on students’ attitudes towards peers with disabilities. </w:t>
      </w:r>
      <w:r w:rsidRPr="0060107A">
        <w:rPr>
          <w:i/>
          <w:iCs/>
          <w:lang w:val="en-US"/>
        </w:rPr>
        <w:t>Research in Developmental Disabilities</w:t>
      </w:r>
      <w:r w:rsidRPr="0060107A">
        <w:rPr>
          <w:lang w:val="en-US"/>
        </w:rPr>
        <w:t>, 62</w:t>
      </w:r>
      <w:r w:rsidR="009805DB" w:rsidRPr="0060107A">
        <w:rPr>
          <w:lang w:val="en-US"/>
        </w:rPr>
        <w:t xml:space="preserve"> </w:t>
      </w:r>
      <w:r w:rsidRPr="0060107A">
        <w:rPr>
          <w:lang w:val="en-US"/>
        </w:rPr>
        <w:t xml:space="preserve">(1), </w:t>
      </w:r>
      <w:r w:rsidR="00943FCC">
        <w:rPr>
          <w:lang w:val="en-US"/>
        </w:rPr>
        <w:t xml:space="preserve">str. </w:t>
      </w:r>
      <w:r w:rsidRPr="0060107A">
        <w:rPr>
          <w:lang w:val="en-US"/>
        </w:rPr>
        <w:t xml:space="preserve">160–165. </w:t>
      </w:r>
    </w:p>
    <w:p w14:paraId="055ECE1C" w14:textId="6464004C" w:rsidR="00426D35" w:rsidRPr="0060107A" w:rsidRDefault="00426D35" w:rsidP="00DA4EC6">
      <w:pPr>
        <w:pStyle w:val="Agency-body-text"/>
        <w:jc w:val="both"/>
        <w:rPr>
          <w:lang w:val="en-US"/>
        </w:rPr>
      </w:pPr>
      <w:r w:rsidRPr="0060107A">
        <w:rPr>
          <w:lang w:val="en-US"/>
        </w:rPr>
        <w:t>Snow</w:t>
      </w:r>
      <w:r w:rsidR="00DA4EC6">
        <w:rPr>
          <w:lang w:val="en-US"/>
        </w:rPr>
        <w:t>, P</w:t>
      </w:r>
      <w:r w:rsidR="001177BB">
        <w:rPr>
          <w:lang w:val="en-US"/>
        </w:rPr>
        <w:t>.</w:t>
      </w:r>
      <w:r w:rsidR="00943FCC">
        <w:rPr>
          <w:lang w:val="en-US"/>
        </w:rPr>
        <w:t xml:space="preserve"> i</w:t>
      </w:r>
      <w:r w:rsidRPr="0060107A">
        <w:rPr>
          <w:lang w:val="en-US"/>
        </w:rPr>
        <w:t xml:space="preserve"> Powell, M. 2012. </w:t>
      </w:r>
      <w:r w:rsidRPr="0060107A">
        <w:rPr>
          <w:i/>
          <w:iCs/>
          <w:lang w:val="en-US"/>
        </w:rPr>
        <w:t>Youth (in)justice: Oral language competence in early life and risk for engagement in antisocial behaviour in adolescence</w:t>
      </w:r>
      <w:r w:rsidRPr="0060107A">
        <w:rPr>
          <w:lang w:val="en-US"/>
        </w:rPr>
        <w:t xml:space="preserve">. Canberra: Australian Institute of Criminology. </w:t>
      </w:r>
    </w:p>
    <w:p w14:paraId="3426C36B" w14:textId="07F66B2F" w:rsidR="00943FCC" w:rsidRDefault="00426D35" w:rsidP="00DA4EC6">
      <w:pPr>
        <w:pStyle w:val="Agency-body-text"/>
        <w:jc w:val="both"/>
        <w:rPr>
          <w:lang w:val="en-US"/>
        </w:rPr>
      </w:pPr>
      <w:r w:rsidRPr="0060107A">
        <w:rPr>
          <w:lang w:val="en-US"/>
        </w:rPr>
        <w:t>UN Committee on the Rights of Persons with Disabilities, 2016.</w:t>
      </w:r>
      <w:r w:rsidRPr="0060107A">
        <w:rPr>
          <w:rStyle w:val="apple-converted-space"/>
          <w:rFonts w:ascii="Helvetica Neue" w:hAnsi="Helvetica Neue"/>
          <w:color w:val="3F3F3F"/>
          <w:sz w:val="19"/>
          <w:szCs w:val="19"/>
          <w:lang w:val="en-US"/>
        </w:rPr>
        <w:t> </w:t>
      </w:r>
      <w:r w:rsidRPr="0060107A">
        <w:rPr>
          <w:i/>
          <w:iCs/>
          <w:lang w:val="en-US"/>
        </w:rPr>
        <w:t>General comment No. 4, Article 24: Right to inclusive education</w:t>
      </w:r>
      <w:r w:rsidRPr="0060107A">
        <w:rPr>
          <w:lang w:val="en-US"/>
        </w:rPr>
        <w:t>, 2 September 2016, CRPD/C/GC/4, </w:t>
      </w:r>
      <w:r w:rsidR="00943FCC">
        <w:rPr>
          <w:lang w:val="en-US"/>
        </w:rPr>
        <w:t>dostęp</w:t>
      </w:r>
      <w:r w:rsidRPr="0060107A">
        <w:rPr>
          <w:lang w:val="en-US"/>
        </w:rPr>
        <w:t xml:space="preserve">: </w:t>
      </w:r>
      <w:hyperlink r:id="rId12" w:history="1">
        <w:r w:rsidR="00943FCC" w:rsidRPr="001D4EAD">
          <w:rPr>
            <w:rStyle w:val="Hyperlink"/>
            <w:lang w:val="en-US"/>
          </w:rPr>
          <w:t>https://www.refworld.org/docid/57c977e34.html</w:t>
        </w:r>
      </w:hyperlink>
    </w:p>
    <w:p w14:paraId="5925E87A" w14:textId="2A2C16A8" w:rsidR="00426D35" w:rsidRPr="000B67E1" w:rsidRDefault="00426D35" w:rsidP="00DA4EC6">
      <w:pPr>
        <w:pStyle w:val="Agency-body-text"/>
        <w:jc w:val="both"/>
        <w:rPr>
          <w:shd w:val="clear" w:color="auto" w:fill="FFFFFF"/>
        </w:rPr>
      </w:pPr>
      <w:r w:rsidRPr="0060107A">
        <w:rPr>
          <w:shd w:val="clear" w:color="auto" w:fill="FFFFFF"/>
          <w:lang w:val="en-US"/>
        </w:rPr>
        <w:t xml:space="preserve">UN Committee on the Rights of Persons with Disabilities, 2019. </w:t>
      </w:r>
      <w:r w:rsidRPr="0060107A">
        <w:rPr>
          <w:i/>
          <w:iCs/>
          <w:shd w:val="clear" w:color="auto" w:fill="FFFFFF"/>
          <w:lang w:val="en-US"/>
        </w:rPr>
        <w:t>Concluding observations on the combined 2nd and 3rd periodic reports of Spain</w:t>
      </w:r>
      <w:r w:rsidR="003E0FE8" w:rsidRPr="0060107A">
        <w:rPr>
          <w:shd w:val="clear" w:color="auto" w:fill="FFFFFF"/>
          <w:lang w:val="en-US"/>
        </w:rPr>
        <w:t xml:space="preserve">. 13 May 2019. </w:t>
      </w:r>
      <w:r w:rsidR="003E0FE8" w:rsidRPr="000B67E1">
        <w:rPr>
          <w:shd w:val="clear" w:color="auto" w:fill="FFFFFF"/>
        </w:rPr>
        <w:t>CRPD/C/ESP/CO/2-3,</w:t>
      </w:r>
      <w:r w:rsidR="00943FCC" w:rsidRPr="000B67E1">
        <w:rPr>
          <w:shd w:val="clear" w:color="auto" w:fill="FFFFFF"/>
        </w:rPr>
        <w:t xml:space="preserve"> dostęp</w:t>
      </w:r>
      <w:r w:rsidR="003E0FE8" w:rsidRPr="000B67E1">
        <w:rPr>
          <w:shd w:val="clear" w:color="auto" w:fill="FFFFFF"/>
        </w:rPr>
        <w:t xml:space="preserve">: </w:t>
      </w:r>
      <w:hyperlink r:id="rId13" w:history="1">
        <w:r w:rsidR="00FC6288" w:rsidRPr="000B67E1">
          <w:rPr>
            <w:rStyle w:val="Hyperlink"/>
            <w:shd w:val="clear" w:color="auto" w:fill="FFFFFF"/>
          </w:rPr>
          <w:t>https://digitallibrary.un.org/record/3848691?ln=en</w:t>
        </w:r>
      </w:hyperlink>
      <w:r w:rsidR="00FC6288" w:rsidRPr="000B67E1">
        <w:rPr>
          <w:shd w:val="clear" w:color="auto" w:fill="FFFFFF"/>
        </w:rPr>
        <w:t xml:space="preserve"> </w:t>
      </w:r>
    </w:p>
    <w:p w14:paraId="28BB6A15" w14:textId="55336F12" w:rsidR="00426D35" w:rsidRPr="0060107A" w:rsidRDefault="00426D35" w:rsidP="00DA4EC6">
      <w:pPr>
        <w:pStyle w:val="Agency-body-text"/>
        <w:jc w:val="both"/>
        <w:rPr>
          <w:lang w:val="en-US"/>
        </w:rPr>
      </w:pPr>
      <w:r w:rsidRPr="0060107A">
        <w:rPr>
          <w:lang w:val="en-US"/>
        </w:rPr>
        <w:t>United Nations Committee on the Rights of Persons with Disabilities, 2018 General comment no. 6, 26 April 2018 on equality and non-discrimination CRPD/C/GC/6</w:t>
      </w:r>
      <w:r w:rsidR="00FC6288" w:rsidRPr="0060107A">
        <w:rPr>
          <w:lang w:val="en-US"/>
        </w:rPr>
        <w:t>.</w:t>
      </w:r>
    </w:p>
    <w:p w14:paraId="021E68DC" w14:textId="74BD38BF" w:rsidR="00843AE7" w:rsidRPr="0060107A" w:rsidRDefault="00843AE7" w:rsidP="00DA4EC6">
      <w:pPr>
        <w:pStyle w:val="Agency-body-text"/>
        <w:jc w:val="both"/>
        <w:rPr>
          <w:lang w:val="en-US"/>
        </w:rPr>
      </w:pPr>
      <w:r w:rsidRPr="0060107A">
        <w:rPr>
          <w:lang w:val="en-US"/>
        </w:rPr>
        <w:t xml:space="preserve">UNESCO 2015. EFA Global Monitoring Report, 2015. </w:t>
      </w:r>
      <w:r w:rsidRPr="0060107A">
        <w:rPr>
          <w:i/>
          <w:iCs/>
          <w:lang w:val="en-US"/>
        </w:rPr>
        <w:t>Education for All 2000-2015: Achievements and Challenges</w:t>
      </w:r>
      <w:r w:rsidRPr="0060107A">
        <w:rPr>
          <w:lang w:val="en-US"/>
        </w:rPr>
        <w:t xml:space="preserve">. Paris, UNESCO. </w:t>
      </w:r>
    </w:p>
    <w:p w14:paraId="38E17FD2" w14:textId="77777777" w:rsidR="00426D35" w:rsidRPr="0060107A" w:rsidRDefault="00426D35" w:rsidP="00DA4EC6">
      <w:pPr>
        <w:pStyle w:val="Agency-body-text"/>
        <w:jc w:val="both"/>
        <w:rPr>
          <w:lang w:val="en-US"/>
        </w:rPr>
      </w:pPr>
      <w:r w:rsidRPr="0060107A">
        <w:rPr>
          <w:lang w:val="en-US"/>
        </w:rPr>
        <w:t xml:space="preserve">UNESCO 2017. </w:t>
      </w:r>
      <w:r w:rsidRPr="0060107A">
        <w:rPr>
          <w:i/>
          <w:iCs/>
          <w:lang w:val="en-US"/>
        </w:rPr>
        <w:t>A Guide for Ensuring Inclusion and Equity in Education</w:t>
      </w:r>
      <w:r w:rsidRPr="0060107A">
        <w:rPr>
          <w:lang w:val="en-US"/>
        </w:rPr>
        <w:t>. Paris, UNESCO.</w:t>
      </w:r>
    </w:p>
    <w:p w14:paraId="3DF16D1C" w14:textId="5D362365" w:rsidR="00426D35" w:rsidRPr="0060107A" w:rsidRDefault="00426D35" w:rsidP="00DA4EC6">
      <w:pPr>
        <w:pStyle w:val="Agency-body-text"/>
        <w:jc w:val="both"/>
        <w:rPr>
          <w:lang w:val="en-US"/>
        </w:rPr>
      </w:pPr>
      <w:r w:rsidRPr="0060107A">
        <w:rPr>
          <w:lang w:val="en-US"/>
        </w:rPr>
        <w:t xml:space="preserve">UNESCO 2020. Global Education Monitoring Report 2020: </w:t>
      </w:r>
      <w:r w:rsidRPr="0060107A">
        <w:rPr>
          <w:i/>
          <w:iCs/>
          <w:lang w:val="en-US"/>
        </w:rPr>
        <w:t>Inclusion and education: All means all</w:t>
      </w:r>
      <w:r w:rsidRPr="0060107A">
        <w:rPr>
          <w:lang w:val="en-US"/>
        </w:rPr>
        <w:t>. Paris, UNESCO</w:t>
      </w:r>
      <w:r w:rsidR="00FC6288" w:rsidRPr="0060107A">
        <w:rPr>
          <w:lang w:val="en-US"/>
        </w:rPr>
        <w:t>.</w:t>
      </w:r>
    </w:p>
    <w:p w14:paraId="14DBD573" w14:textId="00F8BED9" w:rsidR="00843AE7" w:rsidRPr="0060107A" w:rsidRDefault="00843AE7" w:rsidP="00DA4EC6">
      <w:pPr>
        <w:pStyle w:val="Agency-body-text"/>
        <w:jc w:val="both"/>
        <w:rPr>
          <w:lang w:val="en-US"/>
        </w:rPr>
      </w:pPr>
      <w:r w:rsidRPr="0060107A">
        <w:rPr>
          <w:lang w:val="en-US"/>
        </w:rPr>
        <w:t xml:space="preserve">UNESCO 2021a. Global Education Monitoring Report 2021 – Central and Eastern Europe, the Caucasus and Central Asia – </w:t>
      </w:r>
      <w:r w:rsidRPr="0060107A">
        <w:rPr>
          <w:i/>
          <w:iCs/>
          <w:lang w:val="en-US"/>
        </w:rPr>
        <w:t>Inclusion and education: All means all</w:t>
      </w:r>
      <w:r w:rsidRPr="0060107A">
        <w:rPr>
          <w:lang w:val="en-US"/>
        </w:rPr>
        <w:t>. Paris, UNESCO</w:t>
      </w:r>
      <w:r w:rsidR="00FC6288" w:rsidRPr="0060107A">
        <w:rPr>
          <w:lang w:val="en-US"/>
        </w:rPr>
        <w:t>.</w:t>
      </w:r>
    </w:p>
    <w:p w14:paraId="591E1657" w14:textId="61BE468C" w:rsidR="00843AE7" w:rsidRPr="0060107A" w:rsidRDefault="00843AE7" w:rsidP="00DA4EC6">
      <w:pPr>
        <w:pStyle w:val="Agency-body-text"/>
        <w:jc w:val="both"/>
        <w:rPr>
          <w:szCs w:val="24"/>
          <w:lang w:val="en-US"/>
        </w:rPr>
      </w:pPr>
      <w:r w:rsidRPr="0060107A">
        <w:rPr>
          <w:lang w:val="en-US"/>
        </w:rPr>
        <w:t>UNESCO 2021b.</w:t>
      </w:r>
      <w:r w:rsidR="00A26334" w:rsidRPr="0060107A">
        <w:rPr>
          <w:lang w:val="en-US"/>
        </w:rPr>
        <w:t xml:space="preserve"> </w:t>
      </w:r>
      <w:r w:rsidRPr="0060107A">
        <w:rPr>
          <w:i/>
          <w:iCs/>
          <w:lang w:val="en-US"/>
        </w:rPr>
        <w:t>How Committed? Unlocking financing for equity in education</w:t>
      </w:r>
      <w:r w:rsidRPr="0060107A">
        <w:rPr>
          <w:lang w:val="en-US"/>
        </w:rPr>
        <w:t>. Global Education Monitoring Report Policy Paper 44 January 2021 Paris: UNESCO</w:t>
      </w:r>
      <w:r w:rsidR="00FC6288" w:rsidRPr="0060107A">
        <w:rPr>
          <w:lang w:val="en-US"/>
        </w:rPr>
        <w:t>.</w:t>
      </w:r>
    </w:p>
    <w:p w14:paraId="2D139E7C" w14:textId="5C69AD9C" w:rsidR="00426D35" w:rsidRPr="0060107A" w:rsidRDefault="00426D35" w:rsidP="00DA4EC6">
      <w:pPr>
        <w:pStyle w:val="Agency-body-text"/>
        <w:jc w:val="both"/>
        <w:rPr>
          <w:lang w:val="en-US"/>
        </w:rPr>
      </w:pPr>
      <w:r w:rsidRPr="0060107A">
        <w:rPr>
          <w:lang w:val="en-US"/>
        </w:rPr>
        <w:t>United Nations General Assembly,</w:t>
      </w:r>
      <w:r w:rsidR="00943FCC">
        <w:rPr>
          <w:lang w:val="en-US"/>
        </w:rPr>
        <w:t xml:space="preserve"> </w:t>
      </w:r>
      <w:r w:rsidRPr="0060107A">
        <w:rPr>
          <w:lang w:val="en-US"/>
        </w:rPr>
        <w:t xml:space="preserve">1989. </w:t>
      </w:r>
      <w:r w:rsidRPr="0060107A">
        <w:rPr>
          <w:i/>
          <w:iCs/>
          <w:lang w:val="en-US"/>
        </w:rPr>
        <w:t xml:space="preserve">Convention on the Rights of the </w:t>
      </w:r>
      <w:r w:rsidRPr="0060107A">
        <w:rPr>
          <w:lang w:val="en-US"/>
        </w:rPr>
        <w:t>Child, 20 November 1989, United Nations, Treaty Series,</w:t>
      </w:r>
      <w:r w:rsidR="00943FCC">
        <w:rPr>
          <w:lang w:val="en-US"/>
        </w:rPr>
        <w:t xml:space="preserve"> tom</w:t>
      </w:r>
      <w:r w:rsidRPr="0060107A">
        <w:rPr>
          <w:lang w:val="en-US"/>
        </w:rPr>
        <w:t xml:space="preserve"> 1577</w:t>
      </w:r>
      <w:r w:rsidR="00FC6288" w:rsidRPr="0060107A">
        <w:rPr>
          <w:lang w:val="en-US"/>
        </w:rPr>
        <w:t>.</w:t>
      </w:r>
    </w:p>
    <w:p w14:paraId="64B3C7B2" w14:textId="6ED7EC52" w:rsidR="00426D35" w:rsidRPr="0060107A" w:rsidRDefault="00426D35" w:rsidP="00DA4EC6">
      <w:pPr>
        <w:pStyle w:val="Agency-body-text"/>
        <w:jc w:val="both"/>
        <w:rPr>
          <w:lang w:val="en-US"/>
        </w:rPr>
      </w:pPr>
      <w:r w:rsidRPr="0060107A">
        <w:rPr>
          <w:lang w:val="en-US"/>
        </w:rPr>
        <w:t>United Nations General Assembly 2006</w:t>
      </w:r>
      <w:r w:rsidRPr="0060107A">
        <w:rPr>
          <w:i/>
          <w:iCs/>
          <w:lang w:val="en-US"/>
        </w:rPr>
        <w:t>. Convention on the Rights of Persons with Disabilities</w:t>
      </w:r>
      <w:r w:rsidRPr="0060107A">
        <w:rPr>
          <w:lang w:val="en-US"/>
        </w:rPr>
        <w:t xml:space="preserve">, 13 </w:t>
      </w:r>
      <w:r w:rsidR="001D54AF">
        <w:rPr>
          <w:lang w:val="en-US"/>
        </w:rPr>
        <w:t xml:space="preserve">December </w:t>
      </w:r>
      <w:r w:rsidRPr="0060107A">
        <w:rPr>
          <w:lang w:val="en-US"/>
        </w:rPr>
        <w:t>2006.</w:t>
      </w:r>
      <w:r w:rsidR="00842759" w:rsidRPr="0060107A">
        <w:rPr>
          <w:lang w:val="en-US"/>
        </w:rPr>
        <w:t xml:space="preserve"> </w:t>
      </w:r>
      <w:r w:rsidRPr="0060107A">
        <w:rPr>
          <w:lang w:val="en-US"/>
        </w:rPr>
        <w:t>A/RES/61/106</w:t>
      </w:r>
      <w:r w:rsidR="00FC6288" w:rsidRPr="0060107A">
        <w:rPr>
          <w:lang w:val="en-US"/>
        </w:rPr>
        <w:t>.</w:t>
      </w:r>
    </w:p>
    <w:p w14:paraId="56F4454C" w14:textId="72976D2B" w:rsidR="00BE1356" w:rsidRPr="0060107A" w:rsidRDefault="00426D35" w:rsidP="00DA4EC6">
      <w:pPr>
        <w:pStyle w:val="Agency-body-text"/>
        <w:jc w:val="both"/>
        <w:rPr>
          <w:rStyle w:val="Hyperlink"/>
          <w:lang w:val="en-US"/>
        </w:rPr>
      </w:pPr>
      <w:r w:rsidRPr="0060107A">
        <w:rPr>
          <w:lang w:val="en-US"/>
        </w:rPr>
        <w:t>United Nations General Assembly 2019. Human Rights Council 40</w:t>
      </w:r>
      <w:r w:rsidRPr="0060107A">
        <w:rPr>
          <w:vertAlign w:val="superscript"/>
          <w:lang w:val="en-US"/>
        </w:rPr>
        <w:t>th</w:t>
      </w:r>
      <w:r w:rsidRPr="0060107A">
        <w:rPr>
          <w:lang w:val="en-US"/>
        </w:rPr>
        <w:t xml:space="preserve"> session</w:t>
      </w:r>
      <w:r w:rsidRPr="0060107A">
        <w:rPr>
          <w:i/>
          <w:iCs/>
          <w:lang w:val="en-US"/>
        </w:rPr>
        <w:t>. Empowering children with disabilities for the enjoyment of their human rights, including through inclusive education</w:t>
      </w:r>
      <w:r w:rsidRPr="0060107A">
        <w:rPr>
          <w:lang w:val="en-US"/>
        </w:rPr>
        <w:t xml:space="preserve">. Report of the UN High Commissioner for Human Rights (22 </w:t>
      </w:r>
      <w:r w:rsidR="001D54AF">
        <w:rPr>
          <w:lang w:val="en-US"/>
        </w:rPr>
        <w:t xml:space="preserve">January </w:t>
      </w:r>
      <w:r w:rsidRPr="0060107A">
        <w:rPr>
          <w:lang w:val="en-US"/>
        </w:rPr>
        <w:t>2019)</w:t>
      </w:r>
      <w:r w:rsidR="00FC6288" w:rsidRPr="0060107A">
        <w:rPr>
          <w:lang w:val="en-US"/>
        </w:rPr>
        <w:t>.</w:t>
      </w:r>
    </w:p>
    <w:sectPr w:rsidR="00BE1356" w:rsidRPr="0060107A" w:rsidSect="0022276E">
      <w:headerReference w:type="even" r:id="rId14"/>
      <w:headerReference w:type="default" r:id="rId15"/>
      <w:footerReference w:type="even" r:id="rId16"/>
      <w:footerReference w:type="default" r:id="rId17"/>
      <w:headerReference w:type="first" r:id="rId18"/>
      <w:pgSz w:w="11899" w:h="16838"/>
      <w:pgMar w:top="1134" w:right="1531" w:bottom="1276" w:left="1531"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1893C" w14:textId="77777777" w:rsidR="007D2F31" w:rsidRDefault="007D2F31">
      <w:r>
        <w:separator/>
      </w:r>
    </w:p>
  </w:endnote>
  <w:endnote w:type="continuationSeparator" w:id="0">
    <w:p w14:paraId="28BF9C25" w14:textId="77777777" w:rsidR="007D2F31" w:rsidRDefault="007D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
    <w:panose1 w:val="020B0600040502020204"/>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yriad Pro">
    <w:altName w:val="Myriad Pro"/>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Cambria"/>
    <w:panose1 w:val="020B0604020202020204"/>
    <w:charset w:val="00"/>
    <w:family w:val="roman"/>
    <w:notTrueType/>
    <w:pitch w:val="default"/>
  </w:font>
  <w:font w:name="Roboto">
    <w:panose1 w:val="020B0604020202020204"/>
    <w:charset w:val="00"/>
    <w:family w:val="auto"/>
    <w:pitch w:val="variable"/>
    <w:sig w:usb0="E00002FF" w:usb1="5000205B" w:usb2="0000002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77672" w14:textId="3D65EC58" w:rsidR="002E2439" w:rsidRPr="00B92015" w:rsidRDefault="002E2439" w:rsidP="005C6F09">
    <w:pPr>
      <w:framePr w:wrap="around" w:vAnchor="text" w:hAnchor="margin" w:xAlign="outside" w:y="1"/>
      <w:jc w:val="right"/>
      <w:rPr>
        <w:rFonts w:asciiTheme="majorHAnsi" w:hAnsiTheme="majorHAnsi"/>
      </w:rPr>
    </w:pPr>
    <w:r w:rsidRPr="00B92015">
      <w:rPr>
        <w:rFonts w:asciiTheme="majorHAnsi" w:hAnsiTheme="majorHAnsi"/>
      </w:rPr>
      <w:fldChar w:fldCharType="begin"/>
    </w:r>
    <w:r w:rsidRPr="00B92015">
      <w:rPr>
        <w:rFonts w:asciiTheme="majorHAnsi" w:hAnsiTheme="majorHAnsi"/>
      </w:rPr>
      <w:instrText xml:space="preserve">PAGE  </w:instrText>
    </w:r>
    <w:r w:rsidRPr="00B92015">
      <w:rPr>
        <w:rFonts w:asciiTheme="majorHAnsi" w:hAnsiTheme="majorHAnsi"/>
      </w:rPr>
      <w:fldChar w:fldCharType="separate"/>
    </w:r>
    <w:r w:rsidR="00740160">
      <w:rPr>
        <w:rFonts w:asciiTheme="majorHAnsi" w:hAnsiTheme="majorHAnsi"/>
        <w:noProof/>
      </w:rPr>
      <w:t>26</w:t>
    </w:r>
    <w:r w:rsidRPr="00B92015">
      <w:rPr>
        <w:rFonts w:asciiTheme="majorHAnsi" w:hAnsiTheme="majorHAnsi"/>
      </w:rPr>
      <w:fldChar w:fldCharType="end"/>
    </w:r>
  </w:p>
  <w:p w14:paraId="4F758AF3" w14:textId="60664661" w:rsidR="002E2439" w:rsidRPr="00410024" w:rsidRDefault="002E2439" w:rsidP="00BF4B87">
    <w:pPr>
      <w:pStyle w:val="Agency-footer"/>
      <w:jc w:val="right"/>
    </w:pPr>
    <w:r w:rsidRPr="00410024">
      <w:t>Skrócona wersja proponowanych zało</w:t>
    </w:r>
    <w:r>
      <w:t>żeń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D23FF" w14:textId="57B55954" w:rsidR="002E2439" w:rsidRPr="00385B0F" w:rsidRDefault="002E2439" w:rsidP="005C6F09">
    <w:pPr>
      <w:framePr w:wrap="around" w:vAnchor="text" w:hAnchor="margin" w:xAlign="outside" w:y="1"/>
      <w:jc w:val="right"/>
    </w:pPr>
    <w:r w:rsidRPr="003E03F2">
      <w:rPr>
        <w:rFonts w:ascii="Calibri" w:hAnsi="Calibri"/>
      </w:rPr>
      <w:fldChar w:fldCharType="begin"/>
    </w:r>
    <w:r w:rsidRPr="00385B0F">
      <w:rPr>
        <w:rFonts w:ascii="Calibri" w:hAnsi="Calibri"/>
      </w:rPr>
      <w:instrText xml:space="preserve">PAGE  </w:instrText>
    </w:r>
    <w:r w:rsidRPr="003E03F2">
      <w:rPr>
        <w:rFonts w:ascii="Calibri" w:hAnsi="Calibri"/>
      </w:rPr>
      <w:fldChar w:fldCharType="separate"/>
    </w:r>
    <w:r w:rsidR="001F6942">
      <w:rPr>
        <w:rFonts w:ascii="Calibri" w:hAnsi="Calibri"/>
        <w:noProof/>
      </w:rPr>
      <w:t>25</w:t>
    </w:r>
    <w:r w:rsidRPr="003E03F2">
      <w:rPr>
        <w:rFonts w:ascii="Calibri" w:hAnsi="Calibri"/>
      </w:rPr>
      <w:fldChar w:fldCharType="end"/>
    </w:r>
  </w:p>
  <w:p w14:paraId="271ABCEA" w14:textId="2936A2E6" w:rsidR="002E2439" w:rsidRPr="00D83BC1" w:rsidRDefault="002E2439" w:rsidP="00EA53FF">
    <w:pPr>
      <w:pStyle w:val="Agency-footer"/>
    </w:pPr>
    <w:r w:rsidRPr="00D83BC1">
      <w:t xml:space="preserve">II </w:t>
    </w:r>
    <w:r>
      <w:t xml:space="preserve">etap </w:t>
    </w:r>
    <w:r w:rsidRPr="00D83BC1">
      <w:t>projektu PWRS –</w:t>
    </w:r>
    <w:r>
      <w:t xml:space="preserve"> </w:t>
    </w:r>
    <w:r w:rsidRPr="00D83BC1">
      <w:t>Produkt 6. (Wersja skrócona)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C6FAD" w14:textId="77777777" w:rsidR="007D2F31" w:rsidRDefault="007D2F31">
      <w:r>
        <w:separator/>
      </w:r>
    </w:p>
  </w:footnote>
  <w:footnote w:type="continuationSeparator" w:id="0">
    <w:p w14:paraId="60FBBCB9" w14:textId="77777777" w:rsidR="007D2F31" w:rsidRDefault="007D2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3AD19" w14:textId="77777777" w:rsidR="002E2439" w:rsidRDefault="002E2439" w:rsidP="00EA53FF">
    <w:pPr>
      <w:jc w:val="center"/>
    </w:pPr>
    <w:r>
      <w:rPr>
        <w:noProof/>
        <w:lang w:eastAsia="pl-PL"/>
      </w:rPr>
      <w:drawing>
        <wp:inline distT="0" distB="0" distL="0" distR="0" wp14:anchorId="6A3D5F24" wp14:editId="4F77CD61">
          <wp:extent cx="5672455" cy="474345"/>
          <wp:effectExtent l="0" t="0" r="0" b="8255"/>
          <wp:docPr id="6" name="Pictur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474345"/>
                  </a:xfrm>
                  <a:prstGeom prst="rect">
                    <a:avLst/>
                  </a:prstGeom>
                  <a:noFill/>
                  <a:ln>
                    <a:noFill/>
                  </a:ln>
                </pic:spPr>
              </pic:pic>
            </a:graphicData>
          </a:graphic>
        </wp:inline>
      </w:drawing>
    </w:r>
  </w:p>
  <w:p w14:paraId="1B247B11" w14:textId="77777777" w:rsidR="002E2439" w:rsidRDefault="002E2439" w:rsidP="00EA53F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91B4" w14:textId="77777777" w:rsidR="002E2439" w:rsidRDefault="002E2439" w:rsidP="00EA53FF">
    <w:pPr>
      <w:jc w:val="center"/>
    </w:pPr>
    <w:r>
      <w:rPr>
        <w:noProof/>
        <w:lang w:eastAsia="pl-PL"/>
      </w:rPr>
      <w:drawing>
        <wp:inline distT="0" distB="0" distL="0" distR="0" wp14:anchorId="420EF242" wp14:editId="527096A8">
          <wp:extent cx="5611495" cy="451485"/>
          <wp:effectExtent l="0" t="0" r="1905" b="5715"/>
          <wp:docPr id="8" name="Picture 8"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rhs.jpg"/>
                  <pic:cNvPicPr/>
                </pic:nvPicPr>
                <pic:blipFill>
                  <a:blip r:embed="rId1">
                    <a:extLst>
                      <a:ext uri="{28A0092B-C50C-407E-A947-70E740481C1C}">
                        <a14:useLocalDpi xmlns:a14="http://schemas.microsoft.com/office/drawing/2010/main" val="0"/>
                      </a:ext>
                    </a:extLst>
                  </a:blip>
                  <a:stretch>
                    <a:fillRect/>
                  </a:stretch>
                </pic:blipFill>
                <pic:spPr>
                  <a:xfrm>
                    <a:off x="0" y="0"/>
                    <a:ext cx="5611495" cy="451485"/>
                  </a:xfrm>
                  <a:prstGeom prst="rect">
                    <a:avLst/>
                  </a:prstGeom>
                </pic:spPr>
              </pic:pic>
            </a:graphicData>
          </a:graphic>
        </wp:inline>
      </w:drawing>
    </w:r>
  </w:p>
  <w:p w14:paraId="4D0C77D6" w14:textId="77777777" w:rsidR="002E2439" w:rsidRDefault="002E24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DEB14" w14:textId="77777777" w:rsidR="002E2439" w:rsidRDefault="002E2439">
    <w:pPr>
      <w:pStyle w:val="Header"/>
    </w:pPr>
    <w:r>
      <w:rPr>
        <w:noProof/>
        <w:lang w:eastAsia="pl-PL"/>
      </w:rPr>
      <w:drawing>
        <wp:inline distT="0" distB="0" distL="0" distR="0" wp14:anchorId="44508C37" wp14:editId="611FE402">
          <wp:extent cx="5611495" cy="6413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611495" cy="641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0A3"/>
    <w:multiLevelType w:val="hybridMultilevel"/>
    <w:tmpl w:val="5818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A285D"/>
    <w:multiLevelType w:val="multilevel"/>
    <w:tmpl w:val="4610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F2A74"/>
    <w:multiLevelType w:val="hybridMultilevel"/>
    <w:tmpl w:val="E3863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5D6577"/>
    <w:multiLevelType w:val="hybridMultilevel"/>
    <w:tmpl w:val="96C213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A8079E"/>
    <w:multiLevelType w:val="hybridMultilevel"/>
    <w:tmpl w:val="F372FBE6"/>
    <w:lvl w:ilvl="0" w:tplc="08090001">
      <w:start w:val="1"/>
      <w:numFmt w:val="bullet"/>
      <w:lvlText w:val=""/>
      <w:lvlJc w:val="left"/>
      <w:pPr>
        <w:ind w:left="6030" w:hanging="360"/>
      </w:pPr>
      <w:rPr>
        <w:rFonts w:ascii="Symbol" w:hAnsi="Symbol" w:hint="default"/>
      </w:rPr>
    </w:lvl>
    <w:lvl w:ilvl="1" w:tplc="08090003" w:tentative="1">
      <w:start w:val="1"/>
      <w:numFmt w:val="bullet"/>
      <w:lvlText w:val="o"/>
      <w:lvlJc w:val="left"/>
      <w:pPr>
        <w:ind w:left="6750" w:hanging="360"/>
      </w:pPr>
      <w:rPr>
        <w:rFonts w:ascii="Courier New" w:hAnsi="Courier New" w:cs="Courier New" w:hint="default"/>
      </w:rPr>
    </w:lvl>
    <w:lvl w:ilvl="2" w:tplc="08090005" w:tentative="1">
      <w:start w:val="1"/>
      <w:numFmt w:val="bullet"/>
      <w:lvlText w:val=""/>
      <w:lvlJc w:val="left"/>
      <w:pPr>
        <w:ind w:left="7470" w:hanging="360"/>
      </w:pPr>
      <w:rPr>
        <w:rFonts w:ascii="Wingdings" w:hAnsi="Wingdings" w:hint="default"/>
      </w:rPr>
    </w:lvl>
    <w:lvl w:ilvl="3" w:tplc="08090001" w:tentative="1">
      <w:start w:val="1"/>
      <w:numFmt w:val="bullet"/>
      <w:lvlText w:val=""/>
      <w:lvlJc w:val="left"/>
      <w:pPr>
        <w:ind w:left="8190" w:hanging="360"/>
      </w:pPr>
      <w:rPr>
        <w:rFonts w:ascii="Symbol" w:hAnsi="Symbol" w:hint="default"/>
      </w:rPr>
    </w:lvl>
    <w:lvl w:ilvl="4" w:tplc="08090003" w:tentative="1">
      <w:start w:val="1"/>
      <w:numFmt w:val="bullet"/>
      <w:lvlText w:val="o"/>
      <w:lvlJc w:val="left"/>
      <w:pPr>
        <w:ind w:left="8910" w:hanging="360"/>
      </w:pPr>
      <w:rPr>
        <w:rFonts w:ascii="Courier New" w:hAnsi="Courier New" w:cs="Courier New" w:hint="default"/>
      </w:rPr>
    </w:lvl>
    <w:lvl w:ilvl="5" w:tplc="08090005" w:tentative="1">
      <w:start w:val="1"/>
      <w:numFmt w:val="bullet"/>
      <w:lvlText w:val=""/>
      <w:lvlJc w:val="left"/>
      <w:pPr>
        <w:ind w:left="9630" w:hanging="360"/>
      </w:pPr>
      <w:rPr>
        <w:rFonts w:ascii="Wingdings" w:hAnsi="Wingdings" w:hint="default"/>
      </w:rPr>
    </w:lvl>
    <w:lvl w:ilvl="6" w:tplc="08090001" w:tentative="1">
      <w:start w:val="1"/>
      <w:numFmt w:val="bullet"/>
      <w:lvlText w:val=""/>
      <w:lvlJc w:val="left"/>
      <w:pPr>
        <w:ind w:left="10350" w:hanging="360"/>
      </w:pPr>
      <w:rPr>
        <w:rFonts w:ascii="Symbol" w:hAnsi="Symbol" w:hint="default"/>
      </w:rPr>
    </w:lvl>
    <w:lvl w:ilvl="7" w:tplc="08090003" w:tentative="1">
      <w:start w:val="1"/>
      <w:numFmt w:val="bullet"/>
      <w:lvlText w:val="o"/>
      <w:lvlJc w:val="left"/>
      <w:pPr>
        <w:ind w:left="11070" w:hanging="360"/>
      </w:pPr>
      <w:rPr>
        <w:rFonts w:ascii="Courier New" w:hAnsi="Courier New" w:cs="Courier New" w:hint="default"/>
      </w:rPr>
    </w:lvl>
    <w:lvl w:ilvl="8" w:tplc="08090005" w:tentative="1">
      <w:start w:val="1"/>
      <w:numFmt w:val="bullet"/>
      <w:lvlText w:val=""/>
      <w:lvlJc w:val="left"/>
      <w:pPr>
        <w:ind w:left="11790" w:hanging="360"/>
      </w:pPr>
      <w:rPr>
        <w:rFonts w:ascii="Wingdings" w:hAnsi="Wingdings" w:hint="default"/>
      </w:rPr>
    </w:lvl>
  </w:abstractNum>
  <w:abstractNum w:abstractNumId="5" w15:restartNumberingAfterBreak="0">
    <w:nsid w:val="0EA925B1"/>
    <w:multiLevelType w:val="hybridMultilevel"/>
    <w:tmpl w:val="45CE3CBA"/>
    <w:lvl w:ilvl="0" w:tplc="0C7A2AB6">
      <w:start w:val="1"/>
      <w:numFmt w:val="bullet"/>
      <w:lvlText w:val="•"/>
      <w:lvlJc w:val="left"/>
      <w:pPr>
        <w:tabs>
          <w:tab w:val="num" w:pos="720"/>
        </w:tabs>
        <w:ind w:left="720" w:hanging="360"/>
      </w:pPr>
      <w:rPr>
        <w:rFonts w:ascii="Arial" w:hAnsi="Arial" w:hint="default"/>
      </w:rPr>
    </w:lvl>
    <w:lvl w:ilvl="1" w:tplc="D768296C" w:tentative="1">
      <w:start w:val="1"/>
      <w:numFmt w:val="bullet"/>
      <w:lvlText w:val="•"/>
      <w:lvlJc w:val="left"/>
      <w:pPr>
        <w:tabs>
          <w:tab w:val="num" w:pos="1440"/>
        </w:tabs>
        <w:ind w:left="1440" w:hanging="360"/>
      </w:pPr>
      <w:rPr>
        <w:rFonts w:ascii="Arial" w:hAnsi="Arial" w:hint="default"/>
      </w:rPr>
    </w:lvl>
    <w:lvl w:ilvl="2" w:tplc="713C924E" w:tentative="1">
      <w:start w:val="1"/>
      <w:numFmt w:val="bullet"/>
      <w:lvlText w:val="•"/>
      <w:lvlJc w:val="left"/>
      <w:pPr>
        <w:tabs>
          <w:tab w:val="num" w:pos="2160"/>
        </w:tabs>
        <w:ind w:left="2160" w:hanging="360"/>
      </w:pPr>
      <w:rPr>
        <w:rFonts w:ascii="Arial" w:hAnsi="Arial" w:hint="default"/>
      </w:rPr>
    </w:lvl>
    <w:lvl w:ilvl="3" w:tplc="67689232" w:tentative="1">
      <w:start w:val="1"/>
      <w:numFmt w:val="bullet"/>
      <w:lvlText w:val="•"/>
      <w:lvlJc w:val="left"/>
      <w:pPr>
        <w:tabs>
          <w:tab w:val="num" w:pos="2880"/>
        </w:tabs>
        <w:ind w:left="2880" w:hanging="360"/>
      </w:pPr>
      <w:rPr>
        <w:rFonts w:ascii="Arial" w:hAnsi="Arial" w:hint="default"/>
      </w:rPr>
    </w:lvl>
    <w:lvl w:ilvl="4" w:tplc="25FCA1FC" w:tentative="1">
      <w:start w:val="1"/>
      <w:numFmt w:val="bullet"/>
      <w:lvlText w:val="•"/>
      <w:lvlJc w:val="left"/>
      <w:pPr>
        <w:tabs>
          <w:tab w:val="num" w:pos="3600"/>
        </w:tabs>
        <w:ind w:left="3600" w:hanging="360"/>
      </w:pPr>
      <w:rPr>
        <w:rFonts w:ascii="Arial" w:hAnsi="Arial" w:hint="default"/>
      </w:rPr>
    </w:lvl>
    <w:lvl w:ilvl="5" w:tplc="C784A4A2" w:tentative="1">
      <w:start w:val="1"/>
      <w:numFmt w:val="bullet"/>
      <w:lvlText w:val="•"/>
      <w:lvlJc w:val="left"/>
      <w:pPr>
        <w:tabs>
          <w:tab w:val="num" w:pos="4320"/>
        </w:tabs>
        <w:ind w:left="4320" w:hanging="360"/>
      </w:pPr>
      <w:rPr>
        <w:rFonts w:ascii="Arial" w:hAnsi="Arial" w:hint="default"/>
      </w:rPr>
    </w:lvl>
    <w:lvl w:ilvl="6" w:tplc="85F476C6" w:tentative="1">
      <w:start w:val="1"/>
      <w:numFmt w:val="bullet"/>
      <w:lvlText w:val="•"/>
      <w:lvlJc w:val="left"/>
      <w:pPr>
        <w:tabs>
          <w:tab w:val="num" w:pos="5040"/>
        </w:tabs>
        <w:ind w:left="5040" w:hanging="360"/>
      </w:pPr>
      <w:rPr>
        <w:rFonts w:ascii="Arial" w:hAnsi="Arial" w:hint="default"/>
      </w:rPr>
    </w:lvl>
    <w:lvl w:ilvl="7" w:tplc="E40636F2" w:tentative="1">
      <w:start w:val="1"/>
      <w:numFmt w:val="bullet"/>
      <w:lvlText w:val="•"/>
      <w:lvlJc w:val="left"/>
      <w:pPr>
        <w:tabs>
          <w:tab w:val="num" w:pos="5760"/>
        </w:tabs>
        <w:ind w:left="5760" w:hanging="360"/>
      </w:pPr>
      <w:rPr>
        <w:rFonts w:ascii="Arial" w:hAnsi="Arial" w:hint="default"/>
      </w:rPr>
    </w:lvl>
    <w:lvl w:ilvl="8" w:tplc="470624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915250"/>
    <w:multiLevelType w:val="hybridMultilevel"/>
    <w:tmpl w:val="333CF634"/>
    <w:lvl w:ilvl="0" w:tplc="D102BDE2">
      <w:start w:val="1"/>
      <w:numFmt w:val="bullet"/>
      <w:lvlText w:val="•"/>
      <w:lvlJc w:val="left"/>
      <w:pPr>
        <w:tabs>
          <w:tab w:val="num" w:pos="720"/>
        </w:tabs>
        <w:ind w:left="720" w:hanging="360"/>
      </w:pPr>
      <w:rPr>
        <w:rFonts w:ascii="Arial" w:hAnsi="Arial" w:hint="default"/>
      </w:rPr>
    </w:lvl>
    <w:lvl w:ilvl="1" w:tplc="21760398">
      <w:start w:val="1"/>
      <w:numFmt w:val="bullet"/>
      <w:lvlText w:val="•"/>
      <w:lvlJc w:val="left"/>
      <w:pPr>
        <w:tabs>
          <w:tab w:val="num" w:pos="1440"/>
        </w:tabs>
        <w:ind w:left="1440" w:hanging="360"/>
      </w:pPr>
      <w:rPr>
        <w:rFonts w:ascii="Arial" w:hAnsi="Arial" w:hint="default"/>
      </w:rPr>
    </w:lvl>
    <w:lvl w:ilvl="2" w:tplc="2A125F8C" w:tentative="1">
      <w:start w:val="1"/>
      <w:numFmt w:val="bullet"/>
      <w:lvlText w:val="•"/>
      <w:lvlJc w:val="left"/>
      <w:pPr>
        <w:tabs>
          <w:tab w:val="num" w:pos="2160"/>
        </w:tabs>
        <w:ind w:left="2160" w:hanging="360"/>
      </w:pPr>
      <w:rPr>
        <w:rFonts w:ascii="Arial" w:hAnsi="Arial" w:hint="default"/>
      </w:rPr>
    </w:lvl>
    <w:lvl w:ilvl="3" w:tplc="0A66398C" w:tentative="1">
      <w:start w:val="1"/>
      <w:numFmt w:val="bullet"/>
      <w:lvlText w:val="•"/>
      <w:lvlJc w:val="left"/>
      <w:pPr>
        <w:tabs>
          <w:tab w:val="num" w:pos="2880"/>
        </w:tabs>
        <w:ind w:left="2880" w:hanging="360"/>
      </w:pPr>
      <w:rPr>
        <w:rFonts w:ascii="Arial" w:hAnsi="Arial" w:hint="default"/>
      </w:rPr>
    </w:lvl>
    <w:lvl w:ilvl="4" w:tplc="2B28F04E" w:tentative="1">
      <w:start w:val="1"/>
      <w:numFmt w:val="bullet"/>
      <w:lvlText w:val="•"/>
      <w:lvlJc w:val="left"/>
      <w:pPr>
        <w:tabs>
          <w:tab w:val="num" w:pos="3600"/>
        </w:tabs>
        <w:ind w:left="3600" w:hanging="360"/>
      </w:pPr>
      <w:rPr>
        <w:rFonts w:ascii="Arial" w:hAnsi="Arial" w:hint="default"/>
      </w:rPr>
    </w:lvl>
    <w:lvl w:ilvl="5" w:tplc="A29EF1C8" w:tentative="1">
      <w:start w:val="1"/>
      <w:numFmt w:val="bullet"/>
      <w:lvlText w:val="•"/>
      <w:lvlJc w:val="left"/>
      <w:pPr>
        <w:tabs>
          <w:tab w:val="num" w:pos="4320"/>
        </w:tabs>
        <w:ind w:left="4320" w:hanging="360"/>
      </w:pPr>
      <w:rPr>
        <w:rFonts w:ascii="Arial" w:hAnsi="Arial" w:hint="default"/>
      </w:rPr>
    </w:lvl>
    <w:lvl w:ilvl="6" w:tplc="3A925AF6" w:tentative="1">
      <w:start w:val="1"/>
      <w:numFmt w:val="bullet"/>
      <w:lvlText w:val="•"/>
      <w:lvlJc w:val="left"/>
      <w:pPr>
        <w:tabs>
          <w:tab w:val="num" w:pos="5040"/>
        </w:tabs>
        <w:ind w:left="5040" w:hanging="360"/>
      </w:pPr>
      <w:rPr>
        <w:rFonts w:ascii="Arial" w:hAnsi="Arial" w:hint="default"/>
      </w:rPr>
    </w:lvl>
    <w:lvl w:ilvl="7" w:tplc="130AABBE" w:tentative="1">
      <w:start w:val="1"/>
      <w:numFmt w:val="bullet"/>
      <w:lvlText w:val="•"/>
      <w:lvlJc w:val="left"/>
      <w:pPr>
        <w:tabs>
          <w:tab w:val="num" w:pos="5760"/>
        </w:tabs>
        <w:ind w:left="5760" w:hanging="360"/>
      </w:pPr>
      <w:rPr>
        <w:rFonts w:ascii="Arial" w:hAnsi="Arial" w:hint="default"/>
      </w:rPr>
    </w:lvl>
    <w:lvl w:ilvl="8" w:tplc="40A215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944415"/>
    <w:multiLevelType w:val="hybridMultilevel"/>
    <w:tmpl w:val="51C8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A79D9"/>
    <w:multiLevelType w:val="hybridMultilevel"/>
    <w:tmpl w:val="8632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50D39"/>
    <w:multiLevelType w:val="hybridMultilevel"/>
    <w:tmpl w:val="EC8EB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D64568"/>
    <w:multiLevelType w:val="hybridMultilevel"/>
    <w:tmpl w:val="3BD6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C0D75"/>
    <w:multiLevelType w:val="hybridMultilevel"/>
    <w:tmpl w:val="0A44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2E576F"/>
    <w:multiLevelType w:val="hybridMultilevel"/>
    <w:tmpl w:val="F246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B72646"/>
    <w:multiLevelType w:val="hybridMultilevel"/>
    <w:tmpl w:val="FADE9C54"/>
    <w:lvl w:ilvl="0" w:tplc="D8720DDC">
      <w:start w:val="1"/>
      <w:numFmt w:val="bullet"/>
      <w:lvlText w:val="•"/>
      <w:lvlJc w:val="left"/>
      <w:pPr>
        <w:tabs>
          <w:tab w:val="num" w:pos="720"/>
        </w:tabs>
        <w:ind w:left="720" w:hanging="360"/>
      </w:pPr>
      <w:rPr>
        <w:rFonts w:ascii="Arial" w:hAnsi="Arial" w:hint="default"/>
      </w:rPr>
    </w:lvl>
    <w:lvl w:ilvl="1" w:tplc="2AAC9670" w:tentative="1">
      <w:start w:val="1"/>
      <w:numFmt w:val="bullet"/>
      <w:lvlText w:val="•"/>
      <w:lvlJc w:val="left"/>
      <w:pPr>
        <w:tabs>
          <w:tab w:val="num" w:pos="1440"/>
        </w:tabs>
        <w:ind w:left="1440" w:hanging="360"/>
      </w:pPr>
      <w:rPr>
        <w:rFonts w:ascii="Arial" w:hAnsi="Arial" w:hint="default"/>
      </w:rPr>
    </w:lvl>
    <w:lvl w:ilvl="2" w:tplc="B5CABA28" w:tentative="1">
      <w:start w:val="1"/>
      <w:numFmt w:val="bullet"/>
      <w:lvlText w:val="•"/>
      <w:lvlJc w:val="left"/>
      <w:pPr>
        <w:tabs>
          <w:tab w:val="num" w:pos="2160"/>
        </w:tabs>
        <w:ind w:left="2160" w:hanging="360"/>
      </w:pPr>
      <w:rPr>
        <w:rFonts w:ascii="Arial" w:hAnsi="Arial" w:hint="default"/>
      </w:rPr>
    </w:lvl>
    <w:lvl w:ilvl="3" w:tplc="20B08A86" w:tentative="1">
      <w:start w:val="1"/>
      <w:numFmt w:val="bullet"/>
      <w:lvlText w:val="•"/>
      <w:lvlJc w:val="left"/>
      <w:pPr>
        <w:tabs>
          <w:tab w:val="num" w:pos="2880"/>
        </w:tabs>
        <w:ind w:left="2880" w:hanging="360"/>
      </w:pPr>
      <w:rPr>
        <w:rFonts w:ascii="Arial" w:hAnsi="Arial" w:hint="default"/>
      </w:rPr>
    </w:lvl>
    <w:lvl w:ilvl="4" w:tplc="C61821BA" w:tentative="1">
      <w:start w:val="1"/>
      <w:numFmt w:val="bullet"/>
      <w:lvlText w:val="•"/>
      <w:lvlJc w:val="left"/>
      <w:pPr>
        <w:tabs>
          <w:tab w:val="num" w:pos="3600"/>
        </w:tabs>
        <w:ind w:left="3600" w:hanging="360"/>
      </w:pPr>
      <w:rPr>
        <w:rFonts w:ascii="Arial" w:hAnsi="Arial" w:hint="default"/>
      </w:rPr>
    </w:lvl>
    <w:lvl w:ilvl="5" w:tplc="3A22B842" w:tentative="1">
      <w:start w:val="1"/>
      <w:numFmt w:val="bullet"/>
      <w:lvlText w:val="•"/>
      <w:lvlJc w:val="left"/>
      <w:pPr>
        <w:tabs>
          <w:tab w:val="num" w:pos="4320"/>
        </w:tabs>
        <w:ind w:left="4320" w:hanging="360"/>
      </w:pPr>
      <w:rPr>
        <w:rFonts w:ascii="Arial" w:hAnsi="Arial" w:hint="default"/>
      </w:rPr>
    </w:lvl>
    <w:lvl w:ilvl="6" w:tplc="492C6B6C" w:tentative="1">
      <w:start w:val="1"/>
      <w:numFmt w:val="bullet"/>
      <w:lvlText w:val="•"/>
      <w:lvlJc w:val="left"/>
      <w:pPr>
        <w:tabs>
          <w:tab w:val="num" w:pos="5040"/>
        </w:tabs>
        <w:ind w:left="5040" w:hanging="360"/>
      </w:pPr>
      <w:rPr>
        <w:rFonts w:ascii="Arial" w:hAnsi="Arial" w:hint="default"/>
      </w:rPr>
    </w:lvl>
    <w:lvl w:ilvl="7" w:tplc="8AE056D6" w:tentative="1">
      <w:start w:val="1"/>
      <w:numFmt w:val="bullet"/>
      <w:lvlText w:val="•"/>
      <w:lvlJc w:val="left"/>
      <w:pPr>
        <w:tabs>
          <w:tab w:val="num" w:pos="5760"/>
        </w:tabs>
        <w:ind w:left="5760" w:hanging="360"/>
      </w:pPr>
      <w:rPr>
        <w:rFonts w:ascii="Arial" w:hAnsi="Arial" w:hint="default"/>
      </w:rPr>
    </w:lvl>
    <w:lvl w:ilvl="8" w:tplc="DD5E1E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7E0688"/>
    <w:multiLevelType w:val="hybridMultilevel"/>
    <w:tmpl w:val="725E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4C087E"/>
    <w:multiLevelType w:val="hybridMultilevel"/>
    <w:tmpl w:val="180E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6A6493"/>
    <w:multiLevelType w:val="hybridMultilevel"/>
    <w:tmpl w:val="5F70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D64C21"/>
    <w:multiLevelType w:val="hybridMultilevel"/>
    <w:tmpl w:val="C7E4E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40493"/>
    <w:multiLevelType w:val="hybridMultilevel"/>
    <w:tmpl w:val="3662A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C3949"/>
    <w:multiLevelType w:val="hybridMultilevel"/>
    <w:tmpl w:val="ECE6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9F57FF"/>
    <w:multiLevelType w:val="hybridMultilevel"/>
    <w:tmpl w:val="8B38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4D4273"/>
    <w:multiLevelType w:val="hybridMultilevel"/>
    <w:tmpl w:val="D29C6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34C3103"/>
    <w:multiLevelType w:val="hybridMultilevel"/>
    <w:tmpl w:val="DC3A193A"/>
    <w:lvl w:ilvl="0" w:tplc="35EAA036">
      <w:start w:val="1"/>
      <w:numFmt w:val="bullet"/>
      <w:lvlText w:val="•"/>
      <w:lvlJc w:val="left"/>
      <w:pPr>
        <w:tabs>
          <w:tab w:val="num" w:pos="720"/>
        </w:tabs>
        <w:ind w:left="720" w:hanging="360"/>
      </w:pPr>
      <w:rPr>
        <w:rFonts w:ascii="Arial" w:hAnsi="Arial" w:hint="default"/>
      </w:rPr>
    </w:lvl>
    <w:lvl w:ilvl="1" w:tplc="A66E3ADE" w:tentative="1">
      <w:start w:val="1"/>
      <w:numFmt w:val="bullet"/>
      <w:lvlText w:val="•"/>
      <w:lvlJc w:val="left"/>
      <w:pPr>
        <w:tabs>
          <w:tab w:val="num" w:pos="1440"/>
        </w:tabs>
        <w:ind w:left="1440" w:hanging="360"/>
      </w:pPr>
      <w:rPr>
        <w:rFonts w:ascii="Arial" w:hAnsi="Arial" w:hint="default"/>
      </w:rPr>
    </w:lvl>
    <w:lvl w:ilvl="2" w:tplc="B62C37FA" w:tentative="1">
      <w:start w:val="1"/>
      <w:numFmt w:val="bullet"/>
      <w:lvlText w:val="•"/>
      <w:lvlJc w:val="left"/>
      <w:pPr>
        <w:tabs>
          <w:tab w:val="num" w:pos="2160"/>
        </w:tabs>
        <w:ind w:left="2160" w:hanging="360"/>
      </w:pPr>
      <w:rPr>
        <w:rFonts w:ascii="Arial" w:hAnsi="Arial" w:hint="default"/>
      </w:rPr>
    </w:lvl>
    <w:lvl w:ilvl="3" w:tplc="DBF6289E" w:tentative="1">
      <w:start w:val="1"/>
      <w:numFmt w:val="bullet"/>
      <w:lvlText w:val="•"/>
      <w:lvlJc w:val="left"/>
      <w:pPr>
        <w:tabs>
          <w:tab w:val="num" w:pos="2880"/>
        </w:tabs>
        <w:ind w:left="2880" w:hanging="360"/>
      </w:pPr>
      <w:rPr>
        <w:rFonts w:ascii="Arial" w:hAnsi="Arial" w:hint="default"/>
      </w:rPr>
    </w:lvl>
    <w:lvl w:ilvl="4" w:tplc="911C67D4" w:tentative="1">
      <w:start w:val="1"/>
      <w:numFmt w:val="bullet"/>
      <w:lvlText w:val="•"/>
      <w:lvlJc w:val="left"/>
      <w:pPr>
        <w:tabs>
          <w:tab w:val="num" w:pos="3600"/>
        </w:tabs>
        <w:ind w:left="3600" w:hanging="360"/>
      </w:pPr>
      <w:rPr>
        <w:rFonts w:ascii="Arial" w:hAnsi="Arial" w:hint="default"/>
      </w:rPr>
    </w:lvl>
    <w:lvl w:ilvl="5" w:tplc="CAF0D296" w:tentative="1">
      <w:start w:val="1"/>
      <w:numFmt w:val="bullet"/>
      <w:lvlText w:val="•"/>
      <w:lvlJc w:val="left"/>
      <w:pPr>
        <w:tabs>
          <w:tab w:val="num" w:pos="4320"/>
        </w:tabs>
        <w:ind w:left="4320" w:hanging="360"/>
      </w:pPr>
      <w:rPr>
        <w:rFonts w:ascii="Arial" w:hAnsi="Arial" w:hint="default"/>
      </w:rPr>
    </w:lvl>
    <w:lvl w:ilvl="6" w:tplc="64688A0A" w:tentative="1">
      <w:start w:val="1"/>
      <w:numFmt w:val="bullet"/>
      <w:lvlText w:val="•"/>
      <w:lvlJc w:val="left"/>
      <w:pPr>
        <w:tabs>
          <w:tab w:val="num" w:pos="5040"/>
        </w:tabs>
        <w:ind w:left="5040" w:hanging="360"/>
      </w:pPr>
      <w:rPr>
        <w:rFonts w:ascii="Arial" w:hAnsi="Arial" w:hint="default"/>
      </w:rPr>
    </w:lvl>
    <w:lvl w:ilvl="7" w:tplc="3EDABB34" w:tentative="1">
      <w:start w:val="1"/>
      <w:numFmt w:val="bullet"/>
      <w:lvlText w:val="•"/>
      <w:lvlJc w:val="left"/>
      <w:pPr>
        <w:tabs>
          <w:tab w:val="num" w:pos="5760"/>
        </w:tabs>
        <w:ind w:left="5760" w:hanging="360"/>
      </w:pPr>
      <w:rPr>
        <w:rFonts w:ascii="Arial" w:hAnsi="Arial" w:hint="default"/>
      </w:rPr>
    </w:lvl>
    <w:lvl w:ilvl="8" w:tplc="418C17E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6146FC"/>
    <w:multiLevelType w:val="hybridMultilevel"/>
    <w:tmpl w:val="E89E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C85B56"/>
    <w:multiLevelType w:val="hybridMultilevel"/>
    <w:tmpl w:val="73CC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6D7FF6"/>
    <w:multiLevelType w:val="hybridMultilevel"/>
    <w:tmpl w:val="8F868F0E"/>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6" w15:restartNumberingAfterBreak="0">
    <w:nsid w:val="3B7D7A59"/>
    <w:multiLevelType w:val="hybridMultilevel"/>
    <w:tmpl w:val="F514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737606"/>
    <w:multiLevelType w:val="hybridMultilevel"/>
    <w:tmpl w:val="45CC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5C6C0E"/>
    <w:multiLevelType w:val="hybridMultilevel"/>
    <w:tmpl w:val="4D58A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0E7CEB"/>
    <w:multiLevelType w:val="hybridMultilevel"/>
    <w:tmpl w:val="4720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C16331"/>
    <w:multiLevelType w:val="hybridMultilevel"/>
    <w:tmpl w:val="45B6E104"/>
    <w:lvl w:ilvl="0" w:tplc="DB6C4F76">
      <w:start w:val="1"/>
      <w:numFmt w:val="bullet"/>
      <w:lvlText w:val="•"/>
      <w:lvlJc w:val="left"/>
      <w:pPr>
        <w:tabs>
          <w:tab w:val="num" w:pos="720"/>
        </w:tabs>
        <w:ind w:left="720" w:hanging="360"/>
      </w:pPr>
      <w:rPr>
        <w:rFonts w:ascii="Arial" w:hAnsi="Arial" w:hint="default"/>
      </w:rPr>
    </w:lvl>
    <w:lvl w:ilvl="1" w:tplc="EF74E8B8" w:tentative="1">
      <w:start w:val="1"/>
      <w:numFmt w:val="bullet"/>
      <w:lvlText w:val="•"/>
      <w:lvlJc w:val="left"/>
      <w:pPr>
        <w:tabs>
          <w:tab w:val="num" w:pos="1440"/>
        </w:tabs>
        <w:ind w:left="1440" w:hanging="360"/>
      </w:pPr>
      <w:rPr>
        <w:rFonts w:ascii="Arial" w:hAnsi="Arial" w:hint="default"/>
      </w:rPr>
    </w:lvl>
    <w:lvl w:ilvl="2" w:tplc="8B466E0C" w:tentative="1">
      <w:start w:val="1"/>
      <w:numFmt w:val="bullet"/>
      <w:lvlText w:val="•"/>
      <w:lvlJc w:val="left"/>
      <w:pPr>
        <w:tabs>
          <w:tab w:val="num" w:pos="2160"/>
        </w:tabs>
        <w:ind w:left="2160" w:hanging="360"/>
      </w:pPr>
      <w:rPr>
        <w:rFonts w:ascii="Arial" w:hAnsi="Arial" w:hint="default"/>
      </w:rPr>
    </w:lvl>
    <w:lvl w:ilvl="3" w:tplc="29889966" w:tentative="1">
      <w:start w:val="1"/>
      <w:numFmt w:val="bullet"/>
      <w:lvlText w:val="•"/>
      <w:lvlJc w:val="left"/>
      <w:pPr>
        <w:tabs>
          <w:tab w:val="num" w:pos="2880"/>
        </w:tabs>
        <w:ind w:left="2880" w:hanging="360"/>
      </w:pPr>
      <w:rPr>
        <w:rFonts w:ascii="Arial" w:hAnsi="Arial" w:hint="default"/>
      </w:rPr>
    </w:lvl>
    <w:lvl w:ilvl="4" w:tplc="69684E0C" w:tentative="1">
      <w:start w:val="1"/>
      <w:numFmt w:val="bullet"/>
      <w:lvlText w:val="•"/>
      <w:lvlJc w:val="left"/>
      <w:pPr>
        <w:tabs>
          <w:tab w:val="num" w:pos="3600"/>
        </w:tabs>
        <w:ind w:left="3600" w:hanging="360"/>
      </w:pPr>
      <w:rPr>
        <w:rFonts w:ascii="Arial" w:hAnsi="Arial" w:hint="default"/>
      </w:rPr>
    </w:lvl>
    <w:lvl w:ilvl="5" w:tplc="71DEB1B8" w:tentative="1">
      <w:start w:val="1"/>
      <w:numFmt w:val="bullet"/>
      <w:lvlText w:val="•"/>
      <w:lvlJc w:val="left"/>
      <w:pPr>
        <w:tabs>
          <w:tab w:val="num" w:pos="4320"/>
        </w:tabs>
        <w:ind w:left="4320" w:hanging="360"/>
      </w:pPr>
      <w:rPr>
        <w:rFonts w:ascii="Arial" w:hAnsi="Arial" w:hint="default"/>
      </w:rPr>
    </w:lvl>
    <w:lvl w:ilvl="6" w:tplc="7E0AC67A" w:tentative="1">
      <w:start w:val="1"/>
      <w:numFmt w:val="bullet"/>
      <w:lvlText w:val="•"/>
      <w:lvlJc w:val="left"/>
      <w:pPr>
        <w:tabs>
          <w:tab w:val="num" w:pos="5040"/>
        </w:tabs>
        <w:ind w:left="5040" w:hanging="360"/>
      </w:pPr>
      <w:rPr>
        <w:rFonts w:ascii="Arial" w:hAnsi="Arial" w:hint="default"/>
      </w:rPr>
    </w:lvl>
    <w:lvl w:ilvl="7" w:tplc="C43E2AC4" w:tentative="1">
      <w:start w:val="1"/>
      <w:numFmt w:val="bullet"/>
      <w:lvlText w:val="•"/>
      <w:lvlJc w:val="left"/>
      <w:pPr>
        <w:tabs>
          <w:tab w:val="num" w:pos="5760"/>
        </w:tabs>
        <w:ind w:left="5760" w:hanging="360"/>
      </w:pPr>
      <w:rPr>
        <w:rFonts w:ascii="Arial" w:hAnsi="Arial" w:hint="default"/>
      </w:rPr>
    </w:lvl>
    <w:lvl w:ilvl="8" w:tplc="30D2391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E4C29"/>
    <w:multiLevelType w:val="hybridMultilevel"/>
    <w:tmpl w:val="14B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7368FE"/>
    <w:multiLevelType w:val="hybridMultilevel"/>
    <w:tmpl w:val="4498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9A4BA4"/>
    <w:multiLevelType w:val="hybridMultilevel"/>
    <w:tmpl w:val="4FFA8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D13E5C"/>
    <w:multiLevelType w:val="hybridMultilevel"/>
    <w:tmpl w:val="00D4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845372"/>
    <w:multiLevelType w:val="hybridMultilevel"/>
    <w:tmpl w:val="0280506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6" w15:restartNumberingAfterBreak="0">
    <w:nsid w:val="74DB5667"/>
    <w:multiLevelType w:val="hybridMultilevel"/>
    <w:tmpl w:val="006A51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6B66CF3"/>
    <w:multiLevelType w:val="hybridMultilevel"/>
    <w:tmpl w:val="F5DCB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2"/>
  </w:num>
  <w:num w:numId="4">
    <w:abstractNumId w:val="0"/>
  </w:num>
  <w:num w:numId="5">
    <w:abstractNumId w:val="18"/>
  </w:num>
  <w:num w:numId="6">
    <w:abstractNumId w:val="34"/>
  </w:num>
  <w:num w:numId="7">
    <w:abstractNumId w:val="17"/>
  </w:num>
  <w:num w:numId="8">
    <w:abstractNumId w:val="20"/>
  </w:num>
  <w:num w:numId="9">
    <w:abstractNumId w:val="37"/>
  </w:num>
  <w:num w:numId="10">
    <w:abstractNumId w:val="26"/>
  </w:num>
  <w:num w:numId="11">
    <w:abstractNumId w:val="35"/>
  </w:num>
  <w:num w:numId="12">
    <w:abstractNumId w:val="7"/>
  </w:num>
  <w:num w:numId="13">
    <w:abstractNumId w:val="16"/>
  </w:num>
  <w:num w:numId="14">
    <w:abstractNumId w:val="24"/>
  </w:num>
  <w:num w:numId="15">
    <w:abstractNumId w:val="5"/>
  </w:num>
  <w:num w:numId="16">
    <w:abstractNumId w:val="22"/>
  </w:num>
  <w:num w:numId="17">
    <w:abstractNumId w:val="13"/>
  </w:num>
  <w:num w:numId="18">
    <w:abstractNumId w:val="6"/>
  </w:num>
  <w:num w:numId="19">
    <w:abstractNumId w:val="30"/>
  </w:num>
  <w:num w:numId="20">
    <w:abstractNumId w:val="19"/>
  </w:num>
  <w:num w:numId="21">
    <w:abstractNumId w:val="31"/>
  </w:num>
  <w:num w:numId="22">
    <w:abstractNumId w:val="28"/>
  </w:num>
  <w:num w:numId="23">
    <w:abstractNumId w:val="11"/>
  </w:num>
  <w:num w:numId="24">
    <w:abstractNumId w:val="32"/>
  </w:num>
  <w:num w:numId="25">
    <w:abstractNumId w:val="21"/>
  </w:num>
  <w:num w:numId="26">
    <w:abstractNumId w:val="23"/>
  </w:num>
  <w:num w:numId="27">
    <w:abstractNumId w:val="29"/>
  </w:num>
  <w:num w:numId="28">
    <w:abstractNumId w:val="15"/>
  </w:num>
  <w:num w:numId="29">
    <w:abstractNumId w:val="27"/>
  </w:num>
  <w:num w:numId="30">
    <w:abstractNumId w:val="25"/>
  </w:num>
  <w:num w:numId="31">
    <w:abstractNumId w:val="1"/>
  </w:num>
  <w:num w:numId="32">
    <w:abstractNumId w:val="8"/>
  </w:num>
  <w:num w:numId="33">
    <w:abstractNumId w:val="14"/>
  </w:num>
  <w:num w:numId="34">
    <w:abstractNumId w:val="33"/>
  </w:num>
  <w:num w:numId="35">
    <w:abstractNumId w:val="9"/>
  </w:num>
  <w:num w:numId="36">
    <w:abstractNumId w:val="3"/>
  </w:num>
  <w:num w:numId="37">
    <w:abstractNumId w:val="2"/>
  </w:num>
  <w:num w:numId="3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embedSystemFonts/>
  <w:hideSpellingErrors/>
  <w:hideGrammaticalErrors/>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0" w:nlCheck="1" w:checkStyle="0"/>
  <w:activeWritingStyle w:appName="MSWord" w:lang="pl-PL"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AB"/>
    <w:rsid w:val="0000380E"/>
    <w:rsid w:val="00004BB1"/>
    <w:rsid w:val="00005B63"/>
    <w:rsid w:val="00006A88"/>
    <w:rsid w:val="0001055C"/>
    <w:rsid w:val="00010657"/>
    <w:rsid w:val="00012F13"/>
    <w:rsid w:val="0001309F"/>
    <w:rsid w:val="00014572"/>
    <w:rsid w:val="00015AFB"/>
    <w:rsid w:val="00015F6A"/>
    <w:rsid w:val="00016713"/>
    <w:rsid w:val="00016FC2"/>
    <w:rsid w:val="00026C4D"/>
    <w:rsid w:val="000319C5"/>
    <w:rsid w:val="00031F10"/>
    <w:rsid w:val="00033ED4"/>
    <w:rsid w:val="00044656"/>
    <w:rsid w:val="0004518C"/>
    <w:rsid w:val="0004652F"/>
    <w:rsid w:val="00051088"/>
    <w:rsid w:val="0005333C"/>
    <w:rsid w:val="000538FF"/>
    <w:rsid w:val="000550D2"/>
    <w:rsid w:val="00056C1D"/>
    <w:rsid w:val="00057821"/>
    <w:rsid w:val="000622A8"/>
    <w:rsid w:val="00062A11"/>
    <w:rsid w:val="0006485C"/>
    <w:rsid w:val="00064A4B"/>
    <w:rsid w:val="00066842"/>
    <w:rsid w:val="00067EEA"/>
    <w:rsid w:val="0007041A"/>
    <w:rsid w:val="000728F8"/>
    <w:rsid w:val="000729BA"/>
    <w:rsid w:val="000731B5"/>
    <w:rsid w:val="000746BE"/>
    <w:rsid w:val="00075ACF"/>
    <w:rsid w:val="00084B2C"/>
    <w:rsid w:val="0008636C"/>
    <w:rsid w:val="00086AEA"/>
    <w:rsid w:val="00092675"/>
    <w:rsid w:val="00094A49"/>
    <w:rsid w:val="00096A3D"/>
    <w:rsid w:val="00097301"/>
    <w:rsid w:val="000A0EA3"/>
    <w:rsid w:val="000A3B02"/>
    <w:rsid w:val="000A595F"/>
    <w:rsid w:val="000A5EE7"/>
    <w:rsid w:val="000B0A69"/>
    <w:rsid w:val="000B1F72"/>
    <w:rsid w:val="000B3A5E"/>
    <w:rsid w:val="000B4F5A"/>
    <w:rsid w:val="000B675A"/>
    <w:rsid w:val="000B67E1"/>
    <w:rsid w:val="000C1E2B"/>
    <w:rsid w:val="000C241F"/>
    <w:rsid w:val="000C3293"/>
    <w:rsid w:val="000C3315"/>
    <w:rsid w:val="000C435D"/>
    <w:rsid w:val="000C58F4"/>
    <w:rsid w:val="000C64AD"/>
    <w:rsid w:val="000D1C9A"/>
    <w:rsid w:val="000D6BE5"/>
    <w:rsid w:val="000E08E0"/>
    <w:rsid w:val="000E100F"/>
    <w:rsid w:val="000E1AAE"/>
    <w:rsid w:val="000E3475"/>
    <w:rsid w:val="000E4E04"/>
    <w:rsid w:val="000E7F25"/>
    <w:rsid w:val="000F5106"/>
    <w:rsid w:val="000F5545"/>
    <w:rsid w:val="001010CC"/>
    <w:rsid w:val="00101CFD"/>
    <w:rsid w:val="001031C2"/>
    <w:rsid w:val="00105644"/>
    <w:rsid w:val="0011024A"/>
    <w:rsid w:val="00112B3C"/>
    <w:rsid w:val="0011357E"/>
    <w:rsid w:val="001174B0"/>
    <w:rsid w:val="001177BB"/>
    <w:rsid w:val="00120009"/>
    <w:rsid w:val="001203DA"/>
    <w:rsid w:val="001258C2"/>
    <w:rsid w:val="00125AEB"/>
    <w:rsid w:val="001279AA"/>
    <w:rsid w:val="0013069F"/>
    <w:rsid w:val="00130854"/>
    <w:rsid w:val="00134492"/>
    <w:rsid w:val="00137A44"/>
    <w:rsid w:val="001415AF"/>
    <w:rsid w:val="00142939"/>
    <w:rsid w:val="001430CC"/>
    <w:rsid w:val="00144548"/>
    <w:rsid w:val="00144841"/>
    <w:rsid w:val="00160C89"/>
    <w:rsid w:val="001666CA"/>
    <w:rsid w:val="00171DE2"/>
    <w:rsid w:val="00173091"/>
    <w:rsid w:val="00173415"/>
    <w:rsid w:val="0017452F"/>
    <w:rsid w:val="00174821"/>
    <w:rsid w:val="001756AD"/>
    <w:rsid w:val="00175D44"/>
    <w:rsid w:val="00184950"/>
    <w:rsid w:val="0019411A"/>
    <w:rsid w:val="00194238"/>
    <w:rsid w:val="001A1B81"/>
    <w:rsid w:val="001A2133"/>
    <w:rsid w:val="001A3554"/>
    <w:rsid w:val="001A4D7F"/>
    <w:rsid w:val="001A6515"/>
    <w:rsid w:val="001B2E00"/>
    <w:rsid w:val="001B425D"/>
    <w:rsid w:val="001B4828"/>
    <w:rsid w:val="001B5E4C"/>
    <w:rsid w:val="001B781A"/>
    <w:rsid w:val="001B78D2"/>
    <w:rsid w:val="001C047C"/>
    <w:rsid w:val="001C22E6"/>
    <w:rsid w:val="001C47A6"/>
    <w:rsid w:val="001C4995"/>
    <w:rsid w:val="001C6306"/>
    <w:rsid w:val="001C79F0"/>
    <w:rsid w:val="001D35E6"/>
    <w:rsid w:val="001D3CC9"/>
    <w:rsid w:val="001D4A74"/>
    <w:rsid w:val="001D4DBA"/>
    <w:rsid w:val="001D54AF"/>
    <w:rsid w:val="001E4A40"/>
    <w:rsid w:val="001E4BAE"/>
    <w:rsid w:val="001F22C2"/>
    <w:rsid w:val="001F33B6"/>
    <w:rsid w:val="001F3864"/>
    <w:rsid w:val="001F5F69"/>
    <w:rsid w:val="001F6942"/>
    <w:rsid w:val="00201F2E"/>
    <w:rsid w:val="00202BA8"/>
    <w:rsid w:val="00202CB8"/>
    <w:rsid w:val="00202F49"/>
    <w:rsid w:val="002051E8"/>
    <w:rsid w:val="002064F1"/>
    <w:rsid w:val="00206A74"/>
    <w:rsid w:val="00206EBB"/>
    <w:rsid w:val="002117AB"/>
    <w:rsid w:val="002224DC"/>
    <w:rsid w:val="0022276E"/>
    <w:rsid w:val="00222940"/>
    <w:rsid w:val="00226874"/>
    <w:rsid w:val="00227701"/>
    <w:rsid w:val="00231601"/>
    <w:rsid w:val="00232FAA"/>
    <w:rsid w:val="0023468E"/>
    <w:rsid w:val="00234773"/>
    <w:rsid w:val="0024081D"/>
    <w:rsid w:val="00241519"/>
    <w:rsid w:val="002416A7"/>
    <w:rsid w:val="002450F6"/>
    <w:rsid w:val="00247A39"/>
    <w:rsid w:val="00251206"/>
    <w:rsid w:val="00260E9D"/>
    <w:rsid w:val="00261999"/>
    <w:rsid w:val="00264617"/>
    <w:rsid w:val="00265C17"/>
    <w:rsid w:val="00266E8E"/>
    <w:rsid w:val="00267192"/>
    <w:rsid w:val="002671F6"/>
    <w:rsid w:val="002726DF"/>
    <w:rsid w:val="002747D3"/>
    <w:rsid w:val="00280864"/>
    <w:rsid w:val="00280F59"/>
    <w:rsid w:val="00282C87"/>
    <w:rsid w:val="00282DCD"/>
    <w:rsid w:val="00284E98"/>
    <w:rsid w:val="00285241"/>
    <w:rsid w:val="002856F7"/>
    <w:rsid w:val="002A1D2B"/>
    <w:rsid w:val="002A31EF"/>
    <w:rsid w:val="002A3ED0"/>
    <w:rsid w:val="002A526F"/>
    <w:rsid w:val="002A6E4F"/>
    <w:rsid w:val="002A77F3"/>
    <w:rsid w:val="002A7E7D"/>
    <w:rsid w:val="002B4D03"/>
    <w:rsid w:val="002B501F"/>
    <w:rsid w:val="002B5D1D"/>
    <w:rsid w:val="002B76FB"/>
    <w:rsid w:val="002C4A19"/>
    <w:rsid w:val="002C55EC"/>
    <w:rsid w:val="002C572B"/>
    <w:rsid w:val="002C5923"/>
    <w:rsid w:val="002C6890"/>
    <w:rsid w:val="002D4138"/>
    <w:rsid w:val="002D53C5"/>
    <w:rsid w:val="002D6AEE"/>
    <w:rsid w:val="002D70A8"/>
    <w:rsid w:val="002E2439"/>
    <w:rsid w:val="002F5CE1"/>
    <w:rsid w:val="003008BF"/>
    <w:rsid w:val="00304DC1"/>
    <w:rsid w:val="00305644"/>
    <w:rsid w:val="00305C6C"/>
    <w:rsid w:val="003101C9"/>
    <w:rsid w:val="00310724"/>
    <w:rsid w:val="003131FC"/>
    <w:rsid w:val="003145EB"/>
    <w:rsid w:val="00317C60"/>
    <w:rsid w:val="0032083B"/>
    <w:rsid w:val="003216B2"/>
    <w:rsid w:val="00326E47"/>
    <w:rsid w:val="003312AC"/>
    <w:rsid w:val="00331B31"/>
    <w:rsid w:val="00333B0F"/>
    <w:rsid w:val="00334502"/>
    <w:rsid w:val="00336F22"/>
    <w:rsid w:val="00344F55"/>
    <w:rsid w:val="00345563"/>
    <w:rsid w:val="00346CDA"/>
    <w:rsid w:val="003477B4"/>
    <w:rsid w:val="00351B55"/>
    <w:rsid w:val="00352DEC"/>
    <w:rsid w:val="00353B64"/>
    <w:rsid w:val="00356C1D"/>
    <w:rsid w:val="00362946"/>
    <w:rsid w:val="00364CF1"/>
    <w:rsid w:val="003652DB"/>
    <w:rsid w:val="003658EF"/>
    <w:rsid w:val="0037573D"/>
    <w:rsid w:val="00382CFD"/>
    <w:rsid w:val="0038308F"/>
    <w:rsid w:val="00383BFF"/>
    <w:rsid w:val="00385B0F"/>
    <w:rsid w:val="00387EAE"/>
    <w:rsid w:val="00395482"/>
    <w:rsid w:val="003959BD"/>
    <w:rsid w:val="00395CAB"/>
    <w:rsid w:val="0039685A"/>
    <w:rsid w:val="003A3601"/>
    <w:rsid w:val="003A508D"/>
    <w:rsid w:val="003A7F7B"/>
    <w:rsid w:val="003B4CED"/>
    <w:rsid w:val="003C15A9"/>
    <w:rsid w:val="003C1793"/>
    <w:rsid w:val="003C1DED"/>
    <w:rsid w:val="003C1E13"/>
    <w:rsid w:val="003C6224"/>
    <w:rsid w:val="003D1C85"/>
    <w:rsid w:val="003D38D8"/>
    <w:rsid w:val="003D4B50"/>
    <w:rsid w:val="003D4DF3"/>
    <w:rsid w:val="003E03F2"/>
    <w:rsid w:val="003E0732"/>
    <w:rsid w:val="003E0FE8"/>
    <w:rsid w:val="003E1AC9"/>
    <w:rsid w:val="003E1E87"/>
    <w:rsid w:val="003E2FE6"/>
    <w:rsid w:val="003E7B79"/>
    <w:rsid w:val="003F0709"/>
    <w:rsid w:val="003F30EA"/>
    <w:rsid w:val="003F3B14"/>
    <w:rsid w:val="003F63BD"/>
    <w:rsid w:val="00402498"/>
    <w:rsid w:val="00404B80"/>
    <w:rsid w:val="00405E01"/>
    <w:rsid w:val="00410024"/>
    <w:rsid w:val="00412DFD"/>
    <w:rsid w:val="00412E83"/>
    <w:rsid w:val="004130CD"/>
    <w:rsid w:val="00413671"/>
    <w:rsid w:val="00415449"/>
    <w:rsid w:val="00417C92"/>
    <w:rsid w:val="00421675"/>
    <w:rsid w:val="00422E19"/>
    <w:rsid w:val="00423D6C"/>
    <w:rsid w:val="00424F56"/>
    <w:rsid w:val="004250C1"/>
    <w:rsid w:val="00426CD2"/>
    <w:rsid w:val="00426D35"/>
    <w:rsid w:val="00427B4E"/>
    <w:rsid w:val="00430058"/>
    <w:rsid w:val="00430512"/>
    <w:rsid w:val="00430CE0"/>
    <w:rsid w:val="0043296C"/>
    <w:rsid w:val="00436104"/>
    <w:rsid w:val="00437E5A"/>
    <w:rsid w:val="00441789"/>
    <w:rsid w:val="00446F78"/>
    <w:rsid w:val="00447A9C"/>
    <w:rsid w:val="0045391C"/>
    <w:rsid w:val="00457FBD"/>
    <w:rsid w:val="00465A93"/>
    <w:rsid w:val="004674FB"/>
    <w:rsid w:val="0047466E"/>
    <w:rsid w:val="00477B70"/>
    <w:rsid w:val="00477FE5"/>
    <w:rsid w:val="00480533"/>
    <w:rsid w:val="00480F6E"/>
    <w:rsid w:val="00480FF6"/>
    <w:rsid w:val="00487997"/>
    <w:rsid w:val="00491480"/>
    <w:rsid w:val="00491F23"/>
    <w:rsid w:val="00492921"/>
    <w:rsid w:val="00494F5B"/>
    <w:rsid w:val="0049734D"/>
    <w:rsid w:val="004975D8"/>
    <w:rsid w:val="004A1966"/>
    <w:rsid w:val="004A2218"/>
    <w:rsid w:val="004A6652"/>
    <w:rsid w:val="004B2610"/>
    <w:rsid w:val="004B31BB"/>
    <w:rsid w:val="004B653B"/>
    <w:rsid w:val="004C177C"/>
    <w:rsid w:val="004C46F3"/>
    <w:rsid w:val="004C66A9"/>
    <w:rsid w:val="004C7CCA"/>
    <w:rsid w:val="004D2236"/>
    <w:rsid w:val="004D2607"/>
    <w:rsid w:val="004D2AA3"/>
    <w:rsid w:val="004D3BF2"/>
    <w:rsid w:val="004D3ED1"/>
    <w:rsid w:val="004D4A30"/>
    <w:rsid w:val="004D6A81"/>
    <w:rsid w:val="004E043A"/>
    <w:rsid w:val="004E0D96"/>
    <w:rsid w:val="004E0E3A"/>
    <w:rsid w:val="004E214C"/>
    <w:rsid w:val="004E3BEF"/>
    <w:rsid w:val="004E6404"/>
    <w:rsid w:val="004F0CE5"/>
    <w:rsid w:val="004F1F55"/>
    <w:rsid w:val="004F4E54"/>
    <w:rsid w:val="004F50FE"/>
    <w:rsid w:val="004F74C2"/>
    <w:rsid w:val="004F7F0E"/>
    <w:rsid w:val="00501B2E"/>
    <w:rsid w:val="00502E9E"/>
    <w:rsid w:val="00510735"/>
    <w:rsid w:val="00512EC1"/>
    <w:rsid w:val="00513D90"/>
    <w:rsid w:val="00522AF7"/>
    <w:rsid w:val="00525606"/>
    <w:rsid w:val="005307AD"/>
    <w:rsid w:val="005316D2"/>
    <w:rsid w:val="00534B48"/>
    <w:rsid w:val="0053781E"/>
    <w:rsid w:val="00540708"/>
    <w:rsid w:val="00540D99"/>
    <w:rsid w:val="005420D0"/>
    <w:rsid w:val="00542535"/>
    <w:rsid w:val="00546082"/>
    <w:rsid w:val="00555E51"/>
    <w:rsid w:val="00563ACA"/>
    <w:rsid w:val="00564356"/>
    <w:rsid w:val="00565B44"/>
    <w:rsid w:val="00566D0D"/>
    <w:rsid w:val="005706DF"/>
    <w:rsid w:val="005708E2"/>
    <w:rsid w:val="00572F13"/>
    <w:rsid w:val="00575AEA"/>
    <w:rsid w:val="00586D41"/>
    <w:rsid w:val="00595B4F"/>
    <w:rsid w:val="005962A8"/>
    <w:rsid w:val="005971D5"/>
    <w:rsid w:val="005A030C"/>
    <w:rsid w:val="005A11B9"/>
    <w:rsid w:val="005A2BFC"/>
    <w:rsid w:val="005A526E"/>
    <w:rsid w:val="005A5B6E"/>
    <w:rsid w:val="005A5EDC"/>
    <w:rsid w:val="005B0AA4"/>
    <w:rsid w:val="005B161A"/>
    <w:rsid w:val="005B5561"/>
    <w:rsid w:val="005B6094"/>
    <w:rsid w:val="005C0DFE"/>
    <w:rsid w:val="005C1C45"/>
    <w:rsid w:val="005C2209"/>
    <w:rsid w:val="005C31D2"/>
    <w:rsid w:val="005C3750"/>
    <w:rsid w:val="005C3BA6"/>
    <w:rsid w:val="005C3C0F"/>
    <w:rsid w:val="005C3D43"/>
    <w:rsid w:val="005C5493"/>
    <w:rsid w:val="005C5E5B"/>
    <w:rsid w:val="005C6790"/>
    <w:rsid w:val="005C6F09"/>
    <w:rsid w:val="005C72D4"/>
    <w:rsid w:val="005D5236"/>
    <w:rsid w:val="005D5C15"/>
    <w:rsid w:val="005D7703"/>
    <w:rsid w:val="005E093F"/>
    <w:rsid w:val="005E166B"/>
    <w:rsid w:val="005E1F53"/>
    <w:rsid w:val="005E2964"/>
    <w:rsid w:val="005E7404"/>
    <w:rsid w:val="005F1883"/>
    <w:rsid w:val="005F3A33"/>
    <w:rsid w:val="005F7B30"/>
    <w:rsid w:val="006007F5"/>
    <w:rsid w:val="0060107A"/>
    <w:rsid w:val="00602A70"/>
    <w:rsid w:val="00604D51"/>
    <w:rsid w:val="00607642"/>
    <w:rsid w:val="006119FF"/>
    <w:rsid w:val="00615F30"/>
    <w:rsid w:val="006174F0"/>
    <w:rsid w:val="00624266"/>
    <w:rsid w:val="00624A80"/>
    <w:rsid w:val="006250EF"/>
    <w:rsid w:val="00625C72"/>
    <w:rsid w:val="00626FBA"/>
    <w:rsid w:val="00630271"/>
    <w:rsid w:val="00631A2F"/>
    <w:rsid w:val="00631FFE"/>
    <w:rsid w:val="0063254C"/>
    <w:rsid w:val="006334B8"/>
    <w:rsid w:val="0064267A"/>
    <w:rsid w:val="006435C7"/>
    <w:rsid w:val="0064607D"/>
    <w:rsid w:val="00646C24"/>
    <w:rsid w:val="0064738A"/>
    <w:rsid w:val="00652129"/>
    <w:rsid w:val="00656E72"/>
    <w:rsid w:val="006607FC"/>
    <w:rsid w:val="00663C68"/>
    <w:rsid w:val="00664D08"/>
    <w:rsid w:val="0066512C"/>
    <w:rsid w:val="00665283"/>
    <w:rsid w:val="006667E1"/>
    <w:rsid w:val="00667788"/>
    <w:rsid w:val="00671077"/>
    <w:rsid w:val="006712BD"/>
    <w:rsid w:val="00671CB3"/>
    <w:rsid w:val="00672FE3"/>
    <w:rsid w:val="0067722C"/>
    <w:rsid w:val="006822AE"/>
    <w:rsid w:val="00682D54"/>
    <w:rsid w:val="0068553C"/>
    <w:rsid w:val="006872F5"/>
    <w:rsid w:val="00690608"/>
    <w:rsid w:val="00691A7E"/>
    <w:rsid w:val="00691B8A"/>
    <w:rsid w:val="006925D7"/>
    <w:rsid w:val="00693AAD"/>
    <w:rsid w:val="00697889"/>
    <w:rsid w:val="006A0DF4"/>
    <w:rsid w:val="006A0E5E"/>
    <w:rsid w:val="006A2298"/>
    <w:rsid w:val="006A2331"/>
    <w:rsid w:val="006A426A"/>
    <w:rsid w:val="006B178C"/>
    <w:rsid w:val="006B5F56"/>
    <w:rsid w:val="006B708E"/>
    <w:rsid w:val="006B7D50"/>
    <w:rsid w:val="006C0750"/>
    <w:rsid w:val="006C4291"/>
    <w:rsid w:val="006D149F"/>
    <w:rsid w:val="006D4B89"/>
    <w:rsid w:val="006D6898"/>
    <w:rsid w:val="006E5FDC"/>
    <w:rsid w:val="006E7166"/>
    <w:rsid w:val="006F31A6"/>
    <w:rsid w:val="006F3F40"/>
    <w:rsid w:val="006F749F"/>
    <w:rsid w:val="007008AB"/>
    <w:rsid w:val="00702165"/>
    <w:rsid w:val="00706FAB"/>
    <w:rsid w:val="00710A4C"/>
    <w:rsid w:val="00710E84"/>
    <w:rsid w:val="00712591"/>
    <w:rsid w:val="00714B9A"/>
    <w:rsid w:val="00717A46"/>
    <w:rsid w:val="00721675"/>
    <w:rsid w:val="007233B2"/>
    <w:rsid w:val="00726FA9"/>
    <w:rsid w:val="007322ED"/>
    <w:rsid w:val="0073499D"/>
    <w:rsid w:val="00734EF4"/>
    <w:rsid w:val="007357CF"/>
    <w:rsid w:val="00740160"/>
    <w:rsid w:val="00742BC6"/>
    <w:rsid w:val="00742CEF"/>
    <w:rsid w:val="00744966"/>
    <w:rsid w:val="00746006"/>
    <w:rsid w:val="007469E0"/>
    <w:rsid w:val="00746E98"/>
    <w:rsid w:val="00750CAD"/>
    <w:rsid w:val="00755C73"/>
    <w:rsid w:val="00756CB8"/>
    <w:rsid w:val="00760B6A"/>
    <w:rsid w:val="007623C6"/>
    <w:rsid w:val="00762A6A"/>
    <w:rsid w:val="00763FBB"/>
    <w:rsid w:val="00764817"/>
    <w:rsid w:val="00765B0E"/>
    <w:rsid w:val="0076670E"/>
    <w:rsid w:val="00775A1D"/>
    <w:rsid w:val="007764AE"/>
    <w:rsid w:val="007764B0"/>
    <w:rsid w:val="0077754C"/>
    <w:rsid w:val="00782218"/>
    <w:rsid w:val="00782E16"/>
    <w:rsid w:val="00783294"/>
    <w:rsid w:val="00784323"/>
    <w:rsid w:val="007844A9"/>
    <w:rsid w:val="0078578A"/>
    <w:rsid w:val="007863B8"/>
    <w:rsid w:val="007879BF"/>
    <w:rsid w:val="00793C83"/>
    <w:rsid w:val="00793F66"/>
    <w:rsid w:val="007948AD"/>
    <w:rsid w:val="007952A1"/>
    <w:rsid w:val="00797C0C"/>
    <w:rsid w:val="007A0D0A"/>
    <w:rsid w:val="007A3E65"/>
    <w:rsid w:val="007A4520"/>
    <w:rsid w:val="007A5894"/>
    <w:rsid w:val="007B2F63"/>
    <w:rsid w:val="007B537C"/>
    <w:rsid w:val="007B5885"/>
    <w:rsid w:val="007B6248"/>
    <w:rsid w:val="007B72B0"/>
    <w:rsid w:val="007C2489"/>
    <w:rsid w:val="007C24C1"/>
    <w:rsid w:val="007C6A77"/>
    <w:rsid w:val="007D2F31"/>
    <w:rsid w:val="007D4D30"/>
    <w:rsid w:val="007D5993"/>
    <w:rsid w:val="007E06BA"/>
    <w:rsid w:val="007E0B47"/>
    <w:rsid w:val="007E22DA"/>
    <w:rsid w:val="007F00FC"/>
    <w:rsid w:val="007F0304"/>
    <w:rsid w:val="007F23A2"/>
    <w:rsid w:val="007F3F23"/>
    <w:rsid w:val="00803A04"/>
    <w:rsid w:val="008149EA"/>
    <w:rsid w:val="00816E76"/>
    <w:rsid w:val="00823666"/>
    <w:rsid w:val="00824B91"/>
    <w:rsid w:val="00825545"/>
    <w:rsid w:val="00825E6D"/>
    <w:rsid w:val="00826AB4"/>
    <w:rsid w:val="0083044C"/>
    <w:rsid w:val="008308F3"/>
    <w:rsid w:val="00833429"/>
    <w:rsid w:val="0083452F"/>
    <w:rsid w:val="00836D20"/>
    <w:rsid w:val="0084141C"/>
    <w:rsid w:val="00841EEB"/>
    <w:rsid w:val="00842759"/>
    <w:rsid w:val="008428F0"/>
    <w:rsid w:val="00843AE7"/>
    <w:rsid w:val="00845E0E"/>
    <w:rsid w:val="008476EE"/>
    <w:rsid w:val="00850A08"/>
    <w:rsid w:val="008514DF"/>
    <w:rsid w:val="00853963"/>
    <w:rsid w:val="00856DD3"/>
    <w:rsid w:val="00857EEF"/>
    <w:rsid w:val="00860CB5"/>
    <w:rsid w:val="00862916"/>
    <w:rsid w:val="00863EE0"/>
    <w:rsid w:val="008669CF"/>
    <w:rsid w:val="0086768F"/>
    <w:rsid w:val="00870BD5"/>
    <w:rsid w:val="008732B9"/>
    <w:rsid w:val="00873984"/>
    <w:rsid w:val="0087535E"/>
    <w:rsid w:val="00876618"/>
    <w:rsid w:val="0088111C"/>
    <w:rsid w:val="00884B7B"/>
    <w:rsid w:val="00884BD9"/>
    <w:rsid w:val="00884F66"/>
    <w:rsid w:val="00885720"/>
    <w:rsid w:val="008859DE"/>
    <w:rsid w:val="008868D8"/>
    <w:rsid w:val="00887E81"/>
    <w:rsid w:val="008900AD"/>
    <w:rsid w:val="0089012E"/>
    <w:rsid w:val="008902CE"/>
    <w:rsid w:val="00893151"/>
    <w:rsid w:val="0089408B"/>
    <w:rsid w:val="00897B01"/>
    <w:rsid w:val="008A1C01"/>
    <w:rsid w:val="008A2889"/>
    <w:rsid w:val="008A656A"/>
    <w:rsid w:val="008A6606"/>
    <w:rsid w:val="008A7204"/>
    <w:rsid w:val="008A7A18"/>
    <w:rsid w:val="008B1F90"/>
    <w:rsid w:val="008B2C08"/>
    <w:rsid w:val="008B3CAA"/>
    <w:rsid w:val="008B3E5B"/>
    <w:rsid w:val="008B4D3A"/>
    <w:rsid w:val="008B568A"/>
    <w:rsid w:val="008B582D"/>
    <w:rsid w:val="008B5D08"/>
    <w:rsid w:val="008B6741"/>
    <w:rsid w:val="008B76C7"/>
    <w:rsid w:val="008C07FC"/>
    <w:rsid w:val="008C3498"/>
    <w:rsid w:val="008C49D4"/>
    <w:rsid w:val="008C5ECE"/>
    <w:rsid w:val="008D080A"/>
    <w:rsid w:val="008D1DD1"/>
    <w:rsid w:val="008D362A"/>
    <w:rsid w:val="008D4BC1"/>
    <w:rsid w:val="008E09DF"/>
    <w:rsid w:val="008E2739"/>
    <w:rsid w:val="008E45A4"/>
    <w:rsid w:val="008F004A"/>
    <w:rsid w:val="008F04DB"/>
    <w:rsid w:val="008F2CB3"/>
    <w:rsid w:val="008F4AEB"/>
    <w:rsid w:val="00901D80"/>
    <w:rsid w:val="00903665"/>
    <w:rsid w:val="009059D1"/>
    <w:rsid w:val="00911BD8"/>
    <w:rsid w:val="00913AF7"/>
    <w:rsid w:val="00913E05"/>
    <w:rsid w:val="00921946"/>
    <w:rsid w:val="00924B8B"/>
    <w:rsid w:val="00933B0D"/>
    <w:rsid w:val="00935FD9"/>
    <w:rsid w:val="00936AEC"/>
    <w:rsid w:val="00937204"/>
    <w:rsid w:val="00943FCC"/>
    <w:rsid w:val="009461F9"/>
    <w:rsid w:val="00946EDB"/>
    <w:rsid w:val="00950976"/>
    <w:rsid w:val="009539AA"/>
    <w:rsid w:val="00953B96"/>
    <w:rsid w:val="00961A35"/>
    <w:rsid w:val="0096283A"/>
    <w:rsid w:val="0096530F"/>
    <w:rsid w:val="009664C9"/>
    <w:rsid w:val="00971CAB"/>
    <w:rsid w:val="009724A5"/>
    <w:rsid w:val="00976592"/>
    <w:rsid w:val="009805DB"/>
    <w:rsid w:val="00981922"/>
    <w:rsid w:val="00983A41"/>
    <w:rsid w:val="00985F2A"/>
    <w:rsid w:val="00990941"/>
    <w:rsid w:val="00990E61"/>
    <w:rsid w:val="009943DF"/>
    <w:rsid w:val="00994AD9"/>
    <w:rsid w:val="00994BE1"/>
    <w:rsid w:val="00996597"/>
    <w:rsid w:val="0099691A"/>
    <w:rsid w:val="009A1F7E"/>
    <w:rsid w:val="009A2223"/>
    <w:rsid w:val="009A440A"/>
    <w:rsid w:val="009A5566"/>
    <w:rsid w:val="009B04F6"/>
    <w:rsid w:val="009B1515"/>
    <w:rsid w:val="009B2DD5"/>
    <w:rsid w:val="009B5503"/>
    <w:rsid w:val="009B5A48"/>
    <w:rsid w:val="009C01DD"/>
    <w:rsid w:val="009C0857"/>
    <w:rsid w:val="009C2153"/>
    <w:rsid w:val="009C268C"/>
    <w:rsid w:val="009D2106"/>
    <w:rsid w:val="009D2255"/>
    <w:rsid w:val="009D3D6A"/>
    <w:rsid w:val="009D7CBB"/>
    <w:rsid w:val="009E0CB9"/>
    <w:rsid w:val="009E199E"/>
    <w:rsid w:val="009E3417"/>
    <w:rsid w:val="009E5766"/>
    <w:rsid w:val="009E6E4D"/>
    <w:rsid w:val="009F00D6"/>
    <w:rsid w:val="009F0779"/>
    <w:rsid w:val="009F22C0"/>
    <w:rsid w:val="009F401B"/>
    <w:rsid w:val="009F5337"/>
    <w:rsid w:val="009F622B"/>
    <w:rsid w:val="009F792F"/>
    <w:rsid w:val="009F7DCF"/>
    <w:rsid w:val="00A01542"/>
    <w:rsid w:val="00A0251B"/>
    <w:rsid w:val="00A02B29"/>
    <w:rsid w:val="00A02D98"/>
    <w:rsid w:val="00A03B63"/>
    <w:rsid w:val="00A040F2"/>
    <w:rsid w:val="00A07F05"/>
    <w:rsid w:val="00A10E15"/>
    <w:rsid w:val="00A11904"/>
    <w:rsid w:val="00A127BD"/>
    <w:rsid w:val="00A13907"/>
    <w:rsid w:val="00A1788F"/>
    <w:rsid w:val="00A205E1"/>
    <w:rsid w:val="00A229DD"/>
    <w:rsid w:val="00A2487B"/>
    <w:rsid w:val="00A26334"/>
    <w:rsid w:val="00A277BD"/>
    <w:rsid w:val="00A30732"/>
    <w:rsid w:val="00A35927"/>
    <w:rsid w:val="00A35DA1"/>
    <w:rsid w:val="00A372A1"/>
    <w:rsid w:val="00A37D78"/>
    <w:rsid w:val="00A401BA"/>
    <w:rsid w:val="00A40F19"/>
    <w:rsid w:val="00A426CE"/>
    <w:rsid w:val="00A44AE0"/>
    <w:rsid w:val="00A5041B"/>
    <w:rsid w:val="00A50540"/>
    <w:rsid w:val="00A51C2E"/>
    <w:rsid w:val="00A52029"/>
    <w:rsid w:val="00A53BC4"/>
    <w:rsid w:val="00A54FB2"/>
    <w:rsid w:val="00A55530"/>
    <w:rsid w:val="00A57696"/>
    <w:rsid w:val="00A61BA1"/>
    <w:rsid w:val="00A6211D"/>
    <w:rsid w:val="00A6375C"/>
    <w:rsid w:val="00A63FC9"/>
    <w:rsid w:val="00A64360"/>
    <w:rsid w:val="00A64599"/>
    <w:rsid w:val="00A739FE"/>
    <w:rsid w:val="00A76C34"/>
    <w:rsid w:val="00A770D7"/>
    <w:rsid w:val="00A77C7F"/>
    <w:rsid w:val="00A8402E"/>
    <w:rsid w:val="00A90CB2"/>
    <w:rsid w:val="00A90DF3"/>
    <w:rsid w:val="00A9106F"/>
    <w:rsid w:val="00A9163F"/>
    <w:rsid w:val="00A940EF"/>
    <w:rsid w:val="00A95328"/>
    <w:rsid w:val="00AA371B"/>
    <w:rsid w:val="00AA48B0"/>
    <w:rsid w:val="00AA5BDA"/>
    <w:rsid w:val="00AB04BC"/>
    <w:rsid w:val="00AB2820"/>
    <w:rsid w:val="00AB496C"/>
    <w:rsid w:val="00AC0E47"/>
    <w:rsid w:val="00AC198A"/>
    <w:rsid w:val="00AC3EDD"/>
    <w:rsid w:val="00AC5EA0"/>
    <w:rsid w:val="00AC5EB4"/>
    <w:rsid w:val="00AC6502"/>
    <w:rsid w:val="00AD2926"/>
    <w:rsid w:val="00AD5581"/>
    <w:rsid w:val="00AE0B05"/>
    <w:rsid w:val="00AE2EF5"/>
    <w:rsid w:val="00AE366D"/>
    <w:rsid w:val="00AE413B"/>
    <w:rsid w:val="00AE4E7A"/>
    <w:rsid w:val="00AE5710"/>
    <w:rsid w:val="00AE6F91"/>
    <w:rsid w:val="00AF1BF0"/>
    <w:rsid w:val="00AF48DC"/>
    <w:rsid w:val="00AF57A7"/>
    <w:rsid w:val="00B0113D"/>
    <w:rsid w:val="00B072A5"/>
    <w:rsid w:val="00B11E0C"/>
    <w:rsid w:val="00B1226E"/>
    <w:rsid w:val="00B157AD"/>
    <w:rsid w:val="00B15C82"/>
    <w:rsid w:val="00B161A9"/>
    <w:rsid w:val="00B1789A"/>
    <w:rsid w:val="00B2128C"/>
    <w:rsid w:val="00B23A4C"/>
    <w:rsid w:val="00B30BAA"/>
    <w:rsid w:val="00B310FF"/>
    <w:rsid w:val="00B34231"/>
    <w:rsid w:val="00B36451"/>
    <w:rsid w:val="00B43C96"/>
    <w:rsid w:val="00B454AA"/>
    <w:rsid w:val="00B457C0"/>
    <w:rsid w:val="00B45CAB"/>
    <w:rsid w:val="00B521C9"/>
    <w:rsid w:val="00B53A70"/>
    <w:rsid w:val="00B53C24"/>
    <w:rsid w:val="00B552C8"/>
    <w:rsid w:val="00B57753"/>
    <w:rsid w:val="00B57D27"/>
    <w:rsid w:val="00B606E1"/>
    <w:rsid w:val="00B6419A"/>
    <w:rsid w:val="00B661C6"/>
    <w:rsid w:val="00B6755F"/>
    <w:rsid w:val="00B679CD"/>
    <w:rsid w:val="00B70383"/>
    <w:rsid w:val="00B75752"/>
    <w:rsid w:val="00B778BC"/>
    <w:rsid w:val="00B87361"/>
    <w:rsid w:val="00B877BC"/>
    <w:rsid w:val="00B87E0E"/>
    <w:rsid w:val="00B87E32"/>
    <w:rsid w:val="00B91E5A"/>
    <w:rsid w:val="00B92015"/>
    <w:rsid w:val="00B92257"/>
    <w:rsid w:val="00B923CA"/>
    <w:rsid w:val="00B9303D"/>
    <w:rsid w:val="00B94F67"/>
    <w:rsid w:val="00B96718"/>
    <w:rsid w:val="00B9773A"/>
    <w:rsid w:val="00BA0E20"/>
    <w:rsid w:val="00BA1160"/>
    <w:rsid w:val="00BA24ED"/>
    <w:rsid w:val="00BA4C0E"/>
    <w:rsid w:val="00BA4D90"/>
    <w:rsid w:val="00BA5633"/>
    <w:rsid w:val="00BA5D43"/>
    <w:rsid w:val="00BA7F4E"/>
    <w:rsid w:val="00BB097D"/>
    <w:rsid w:val="00BB17A5"/>
    <w:rsid w:val="00BB2C1D"/>
    <w:rsid w:val="00BB5176"/>
    <w:rsid w:val="00BB5713"/>
    <w:rsid w:val="00BB5E33"/>
    <w:rsid w:val="00BB6A9B"/>
    <w:rsid w:val="00BB7337"/>
    <w:rsid w:val="00BC0912"/>
    <w:rsid w:val="00BC248A"/>
    <w:rsid w:val="00BC24C9"/>
    <w:rsid w:val="00BD0056"/>
    <w:rsid w:val="00BD23BB"/>
    <w:rsid w:val="00BD4C5D"/>
    <w:rsid w:val="00BD7E7B"/>
    <w:rsid w:val="00BE000E"/>
    <w:rsid w:val="00BE0530"/>
    <w:rsid w:val="00BE1356"/>
    <w:rsid w:val="00BE4328"/>
    <w:rsid w:val="00BE50BC"/>
    <w:rsid w:val="00BE5A2A"/>
    <w:rsid w:val="00BE6039"/>
    <w:rsid w:val="00BF13BA"/>
    <w:rsid w:val="00BF4B87"/>
    <w:rsid w:val="00BF63C4"/>
    <w:rsid w:val="00C00110"/>
    <w:rsid w:val="00C0082A"/>
    <w:rsid w:val="00C03864"/>
    <w:rsid w:val="00C0559F"/>
    <w:rsid w:val="00C06170"/>
    <w:rsid w:val="00C06A22"/>
    <w:rsid w:val="00C07F36"/>
    <w:rsid w:val="00C13A14"/>
    <w:rsid w:val="00C14788"/>
    <w:rsid w:val="00C152DE"/>
    <w:rsid w:val="00C20B2A"/>
    <w:rsid w:val="00C2123D"/>
    <w:rsid w:val="00C273BC"/>
    <w:rsid w:val="00C27E7B"/>
    <w:rsid w:val="00C316C1"/>
    <w:rsid w:val="00C321DD"/>
    <w:rsid w:val="00C321E3"/>
    <w:rsid w:val="00C3242C"/>
    <w:rsid w:val="00C33A86"/>
    <w:rsid w:val="00C33A88"/>
    <w:rsid w:val="00C34A2F"/>
    <w:rsid w:val="00C417A0"/>
    <w:rsid w:val="00C41F0E"/>
    <w:rsid w:val="00C42818"/>
    <w:rsid w:val="00C43C83"/>
    <w:rsid w:val="00C43F70"/>
    <w:rsid w:val="00C45A02"/>
    <w:rsid w:val="00C4730C"/>
    <w:rsid w:val="00C477FA"/>
    <w:rsid w:val="00C52E8B"/>
    <w:rsid w:val="00C52E8D"/>
    <w:rsid w:val="00C53729"/>
    <w:rsid w:val="00C53EA8"/>
    <w:rsid w:val="00C54627"/>
    <w:rsid w:val="00C57CE9"/>
    <w:rsid w:val="00C63DB3"/>
    <w:rsid w:val="00C63E7A"/>
    <w:rsid w:val="00C65448"/>
    <w:rsid w:val="00C710B4"/>
    <w:rsid w:val="00C72945"/>
    <w:rsid w:val="00C73A4B"/>
    <w:rsid w:val="00C745E0"/>
    <w:rsid w:val="00C8081F"/>
    <w:rsid w:val="00C80FE5"/>
    <w:rsid w:val="00C83AE8"/>
    <w:rsid w:val="00C94196"/>
    <w:rsid w:val="00C94612"/>
    <w:rsid w:val="00C970C2"/>
    <w:rsid w:val="00CA051E"/>
    <w:rsid w:val="00CA326D"/>
    <w:rsid w:val="00CA3F63"/>
    <w:rsid w:val="00CA58F5"/>
    <w:rsid w:val="00CA63C1"/>
    <w:rsid w:val="00CA6F73"/>
    <w:rsid w:val="00CB3D6E"/>
    <w:rsid w:val="00CB57EC"/>
    <w:rsid w:val="00CB7361"/>
    <w:rsid w:val="00CB7C13"/>
    <w:rsid w:val="00CC23E7"/>
    <w:rsid w:val="00CC42A6"/>
    <w:rsid w:val="00CC6AE3"/>
    <w:rsid w:val="00CC77C9"/>
    <w:rsid w:val="00CD3077"/>
    <w:rsid w:val="00CD42CD"/>
    <w:rsid w:val="00CD66AA"/>
    <w:rsid w:val="00CD6E69"/>
    <w:rsid w:val="00CE05FB"/>
    <w:rsid w:val="00CE1698"/>
    <w:rsid w:val="00CE1A01"/>
    <w:rsid w:val="00CE4B5F"/>
    <w:rsid w:val="00CE7EC3"/>
    <w:rsid w:val="00CF128B"/>
    <w:rsid w:val="00CF7E43"/>
    <w:rsid w:val="00D00365"/>
    <w:rsid w:val="00D017AE"/>
    <w:rsid w:val="00D0236D"/>
    <w:rsid w:val="00D0363D"/>
    <w:rsid w:val="00D040F7"/>
    <w:rsid w:val="00D05F85"/>
    <w:rsid w:val="00D06099"/>
    <w:rsid w:val="00D110F6"/>
    <w:rsid w:val="00D1218A"/>
    <w:rsid w:val="00D123D1"/>
    <w:rsid w:val="00D1582E"/>
    <w:rsid w:val="00D15A56"/>
    <w:rsid w:val="00D20048"/>
    <w:rsid w:val="00D20DF8"/>
    <w:rsid w:val="00D25C1B"/>
    <w:rsid w:val="00D30A72"/>
    <w:rsid w:val="00D30F0D"/>
    <w:rsid w:val="00D31607"/>
    <w:rsid w:val="00D31BC6"/>
    <w:rsid w:val="00D333E9"/>
    <w:rsid w:val="00D34E4D"/>
    <w:rsid w:val="00D37E0B"/>
    <w:rsid w:val="00D429F1"/>
    <w:rsid w:val="00D4390B"/>
    <w:rsid w:val="00D45903"/>
    <w:rsid w:val="00D47C71"/>
    <w:rsid w:val="00D523AC"/>
    <w:rsid w:val="00D55B13"/>
    <w:rsid w:val="00D565F9"/>
    <w:rsid w:val="00D57729"/>
    <w:rsid w:val="00D6157B"/>
    <w:rsid w:val="00D64CB1"/>
    <w:rsid w:val="00D6645F"/>
    <w:rsid w:val="00D66CE5"/>
    <w:rsid w:val="00D705E9"/>
    <w:rsid w:val="00D718C7"/>
    <w:rsid w:val="00D7296D"/>
    <w:rsid w:val="00D757BE"/>
    <w:rsid w:val="00D76FB1"/>
    <w:rsid w:val="00D77D1F"/>
    <w:rsid w:val="00D80FC7"/>
    <w:rsid w:val="00D83BC1"/>
    <w:rsid w:val="00D83FC8"/>
    <w:rsid w:val="00D86D78"/>
    <w:rsid w:val="00D873FA"/>
    <w:rsid w:val="00D90CD2"/>
    <w:rsid w:val="00D91A8C"/>
    <w:rsid w:val="00D945E9"/>
    <w:rsid w:val="00D949ED"/>
    <w:rsid w:val="00D95447"/>
    <w:rsid w:val="00D964C6"/>
    <w:rsid w:val="00DA0B49"/>
    <w:rsid w:val="00DA351C"/>
    <w:rsid w:val="00DA4EC6"/>
    <w:rsid w:val="00DA7F66"/>
    <w:rsid w:val="00DB184A"/>
    <w:rsid w:val="00DB1B8C"/>
    <w:rsid w:val="00DB28D9"/>
    <w:rsid w:val="00DB4925"/>
    <w:rsid w:val="00DB6FF6"/>
    <w:rsid w:val="00DC0F2C"/>
    <w:rsid w:val="00DC1994"/>
    <w:rsid w:val="00DC1EA8"/>
    <w:rsid w:val="00DC2B37"/>
    <w:rsid w:val="00DC456C"/>
    <w:rsid w:val="00DC5617"/>
    <w:rsid w:val="00DD2D0D"/>
    <w:rsid w:val="00DD30E4"/>
    <w:rsid w:val="00DD5916"/>
    <w:rsid w:val="00DE5F7C"/>
    <w:rsid w:val="00DE681F"/>
    <w:rsid w:val="00DE6B73"/>
    <w:rsid w:val="00DE77CC"/>
    <w:rsid w:val="00DF321A"/>
    <w:rsid w:val="00DF3615"/>
    <w:rsid w:val="00DF74E3"/>
    <w:rsid w:val="00E00D3B"/>
    <w:rsid w:val="00E01F0D"/>
    <w:rsid w:val="00E0434A"/>
    <w:rsid w:val="00E140AE"/>
    <w:rsid w:val="00E17579"/>
    <w:rsid w:val="00E20E95"/>
    <w:rsid w:val="00E267EC"/>
    <w:rsid w:val="00E30381"/>
    <w:rsid w:val="00E333EC"/>
    <w:rsid w:val="00E33880"/>
    <w:rsid w:val="00E33E1B"/>
    <w:rsid w:val="00E34464"/>
    <w:rsid w:val="00E34BDE"/>
    <w:rsid w:val="00E36ED5"/>
    <w:rsid w:val="00E41C0D"/>
    <w:rsid w:val="00E4257C"/>
    <w:rsid w:val="00E43255"/>
    <w:rsid w:val="00E445B9"/>
    <w:rsid w:val="00E44FAF"/>
    <w:rsid w:val="00E45B85"/>
    <w:rsid w:val="00E45F9B"/>
    <w:rsid w:val="00E47C30"/>
    <w:rsid w:val="00E54509"/>
    <w:rsid w:val="00E55DF5"/>
    <w:rsid w:val="00E602BF"/>
    <w:rsid w:val="00E61A56"/>
    <w:rsid w:val="00E653A9"/>
    <w:rsid w:val="00E66D06"/>
    <w:rsid w:val="00E7004E"/>
    <w:rsid w:val="00E73124"/>
    <w:rsid w:val="00E75CD5"/>
    <w:rsid w:val="00E818D5"/>
    <w:rsid w:val="00E822B7"/>
    <w:rsid w:val="00E86D68"/>
    <w:rsid w:val="00E93407"/>
    <w:rsid w:val="00E9618A"/>
    <w:rsid w:val="00E962A0"/>
    <w:rsid w:val="00E96926"/>
    <w:rsid w:val="00EA1649"/>
    <w:rsid w:val="00EA229B"/>
    <w:rsid w:val="00EA44DB"/>
    <w:rsid w:val="00EA53FF"/>
    <w:rsid w:val="00EA6014"/>
    <w:rsid w:val="00EA66BA"/>
    <w:rsid w:val="00EA67E4"/>
    <w:rsid w:val="00EB3FB8"/>
    <w:rsid w:val="00EB5922"/>
    <w:rsid w:val="00EB6BFE"/>
    <w:rsid w:val="00EB7C2C"/>
    <w:rsid w:val="00EC08FE"/>
    <w:rsid w:val="00EC3244"/>
    <w:rsid w:val="00EC4AD1"/>
    <w:rsid w:val="00EC6F04"/>
    <w:rsid w:val="00EC7BA2"/>
    <w:rsid w:val="00ED019D"/>
    <w:rsid w:val="00EE112E"/>
    <w:rsid w:val="00EE1E8C"/>
    <w:rsid w:val="00EE7C97"/>
    <w:rsid w:val="00EF13DC"/>
    <w:rsid w:val="00EF3ED8"/>
    <w:rsid w:val="00EF4F6D"/>
    <w:rsid w:val="00EF5CDD"/>
    <w:rsid w:val="00EF6FC2"/>
    <w:rsid w:val="00EF75B9"/>
    <w:rsid w:val="00EF7EED"/>
    <w:rsid w:val="00F00230"/>
    <w:rsid w:val="00F023BE"/>
    <w:rsid w:val="00F02FF4"/>
    <w:rsid w:val="00F05DA7"/>
    <w:rsid w:val="00F149F2"/>
    <w:rsid w:val="00F1513E"/>
    <w:rsid w:val="00F15193"/>
    <w:rsid w:val="00F206FB"/>
    <w:rsid w:val="00F20AE4"/>
    <w:rsid w:val="00F25EF1"/>
    <w:rsid w:val="00F27E94"/>
    <w:rsid w:val="00F313D5"/>
    <w:rsid w:val="00F321FD"/>
    <w:rsid w:val="00F3632D"/>
    <w:rsid w:val="00F36CDD"/>
    <w:rsid w:val="00F37A9E"/>
    <w:rsid w:val="00F40BF8"/>
    <w:rsid w:val="00F451B8"/>
    <w:rsid w:val="00F45A2C"/>
    <w:rsid w:val="00F53590"/>
    <w:rsid w:val="00F57773"/>
    <w:rsid w:val="00F61E93"/>
    <w:rsid w:val="00F624CF"/>
    <w:rsid w:val="00F62BA9"/>
    <w:rsid w:val="00F6313F"/>
    <w:rsid w:val="00F71FD3"/>
    <w:rsid w:val="00F72BB9"/>
    <w:rsid w:val="00F758DE"/>
    <w:rsid w:val="00F7697C"/>
    <w:rsid w:val="00F769E6"/>
    <w:rsid w:val="00F84F85"/>
    <w:rsid w:val="00F86E5A"/>
    <w:rsid w:val="00F91191"/>
    <w:rsid w:val="00FA0440"/>
    <w:rsid w:val="00FA40A2"/>
    <w:rsid w:val="00FA5F8F"/>
    <w:rsid w:val="00FA62BE"/>
    <w:rsid w:val="00FA6690"/>
    <w:rsid w:val="00FA7229"/>
    <w:rsid w:val="00FB34D8"/>
    <w:rsid w:val="00FB486A"/>
    <w:rsid w:val="00FB4D20"/>
    <w:rsid w:val="00FC5F58"/>
    <w:rsid w:val="00FC60F3"/>
    <w:rsid w:val="00FC6288"/>
    <w:rsid w:val="00FC6C1F"/>
    <w:rsid w:val="00FC7376"/>
    <w:rsid w:val="00FD25B3"/>
    <w:rsid w:val="00FD2B08"/>
    <w:rsid w:val="00FD3394"/>
    <w:rsid w:val="00FD4327"/>
    <w:rsid w:val="00FD5378"/>
    <w:rsid w:val="00FE1D73"/>
    <w:rsid w:val="00FE7B5C"/>
    <w:rsid w:val="00FF072A"/>
    <w:rsid w:val="00FF430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3325849"/>
  <w15:docId w15:val="{A709CC2D-40AB-9F45-AD60-5726130D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CC"/>
    <w:rPr>
      <w:sz w:val="24"/>
      <w:szCs w:val="24"/>
      <w:lang w:val="pl-PL" w:eastAsia="en-GB"/>
    </w:rPr>
  </w:style>
  <w:style w:type="paragraph" w:styleId="Heading1">
    <w:name w:val="heading 1"/>
    <w:basedOn w:val="Normal"/>
    <w:next w:val="Normal"/>
    <w:qFormat/>
    <w:rsid w:val="00480F6E"/>
    <w:pPr>
      <w:keepNext/>
      <w:outlineLvl w:val="0"/>
    </w:pPr>
    <w:rPr>
      <w:b/>
      <w:szCs w:val="20"/>
      <w:lang w:eastAsia="en-US"/>
    </w:rPr>
  </w:style>
  <w:style w:type="paragraph" w:styleId="Heading2">
    <w:name w:val="heading 2"/>
    <w:basedOn w:val="Normal"/>
    <w:next w:val="Normal"/>
    <w:qFormat/>
    <w:rsid w:val="00D8211A"/>
    <w:pPr>
      <w:keepNext/>
      <w:spacing w:before="240" w:after="60"/>
      <w:outlineLvl w:val="1"/>
    </w:pPr>
    <w:rPr>
      <w:rFonts w:ascii="Arial" w:hAnsi="Arial"/>
      <w:b/>
      <w:i/>
      <w:sz w:val="28"/>
      <w:szCs w:val="28"/>
      <w:lang w:eastAsia="en-US"/>
    </w:rPr>
  </w:style>
  <w:style w:type="paragraph" w:styleId="Heading3">
    <w:name w:val="heading 3"/>
    <w:basedOn w:val="Normal"/>
    <w:next w:val="Normal"/>
    <w:qFormat/>
    <w:rsid w:val="00D8211A"/>
    <w:pPr>
      <w:keepNext/>
      <w:spacing w:before="240" w:after="60"/>
      <w:outlineLvl w:val="2"/>
    </w:pPr>
    <w:rPr>
      <w:rFonts w:ascii="Arial" w:hAnsi="Arial"/>
      <w:b/>
      <w:sz w:val="26"/>
      <w:szCs w:val="26"/>
      <w:lang w:eastAsia="en-US"/>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8EF"/>
    <w:pPr>
      <w:tabs>
        <w:tab w:val="center" w:pos="4320"/>
        <w:tab w:val="right" w:pos="8640"/>
      </w:tabs>
    </w:pPr>
    <w:rPr>
      <w:szCs w:val="20"/>
      <w:lang w:eastAsia="en-US"/>
    </w:rPr>
  </w:style>
  <w:style w:type="paragraph" w:styleId="BalloonText">
    <w:name w:val="Balloon Text"/>
    <w:basedOn w:val="Normal"/>
    <w:link w:val="BalloonTextChar"/>
    <w:rsid w:val="003658EF"/>
    <w:rPr>
      <w:rFonts w:ascii="Lucida Grande" w:hAnsi="Lucida Grande" w:cs="Lucida Grande"/>
      <w:sz w:val="18"/>
      <w:szCs w:val="18"/>
      <w:lang w:eastAsia="en-US"/>
    </w:rPr>
  </w:style>
  <w:style w:type="character" w:customStyle="1" w:styleId="BalloonTextChar">
    <w:name w:val="Balloon Text Char"/>
    <w:link w:val="BalloonText"/>
    <w:rsid w:val="003658EF"/>
    <w:rPr>
      <w:rFonts w:ascii="Lucida Grande" w:hAnsi="Lucida Grande" w:cs="Lucida Grande"/>
      <w:sz w:val="18"/>
      <w:szCs w:val="18"/>
      <w:lang w:val="en-GB"/>
    </w:rPr>
  </w:style>
  <w:style w:type="character" w:customStyle="1" w:styleId="HeaderChar">
    <w:name w:val="Header Char"/>
    <w:link w:val="Header"/>
    <w:rsid w:val="003658EF"/>
    <w:rPr>
      <w:sz w:val="24"/>
      <w:lang w:val="en-GB"/>
    </w:rPr>
  </w:style>
  <w:style w:type="paragraph" w:styleId="Footer">
    <w:name w:val="footer"/>
    <w:basedOn w:val="Normal"/>
    <w:link w:val="FooterChar"/>
    <w:rsid w:val="003658EF"/>
    <w:pPr>
      <w:tabs>
        <w:tab w:val="center" w:pos="4320"/>
        <w:tab w:val="right" w:pos="8640"/>
      </w:tabs>
    </w:pPr>
    <w:rPr>
      <w:szCs w:val="20"/>
      <w:lang w:eastAsia="en-US"/>
    </w:rPr>
  </w:style>
  <w:style w:type="character" w:customStyle="1" w:styleId="FooterChar">
    <w:name w:val="Footer Char"/>
    <w:link w:val="Footer"/>
    <w:rsid w:val="003658EF"/>
    <w:rPr>
      <w:sz w:val="24"/>
      <w:lang w:val="en-GB"/>
    </w:rPr>
  </w:style>
  <w:style w:type="paragraph" w:styleId="TOC1">
    <w:name w:val="toc 1"/>
    <w:basedOn w:val="Normal"/>
    <w:next w:val="Normal"/>
    <w:autoRedefine/>
    <w:uiPriority w:val="39"/>
    <w:qFormat/>
    <w:rsid w:val="00FD3394"/>
    <w:pPr>
      <w:spacing w:before="120"/>
    </w:pPr>
    <w:rPr>
      <w:rFonts w:ascii="Calibri" w:hAnsi="Calibri"/>
      <w:b/>
      <w:caps/>
      <w:lang w:eastAsia="en-US"/>
    </w:rPr>
  </w:style>
  <w:style w:type="paragraph" w:styleId="TOC2">
    <w:name w:val="toc 2"/>
    <w:basedOn w:val="Normal"/>
    <w:next w:val="Normal"/>
    <w:autoRedefine/>
    <w:uiPriority w:val="39"/>
    <w:qFormat/>
    <w:rsid w:val="00FD3394"/>
    <w:pPr>
      <w:spacing w:before="120" w:after="120"/>
    </w:pPr>
    <w:rPr>
      <w:rFonts w:ascii="Calibri" w:hAnsi="Calibri"/>
      <w:szCs w:val="20"/>
      <w:lang w:eastAsia="en-US"/>
    </w:rPr>
  </w:style>
  <w:style w:type="paragraph" w:styleId="TOC3">
    <w:name w:val="toc 3"/>
    <w:basedOn w:val="Normal"/>
    <w:next w:val="Normal"/>
    <w:autoRedefine/>
    <w:uiPriority w:val="39"/>
    <w:qFormat/>
    <w:rsid w:val="00FD3394"/>
    <w:pPr>
      <w:ind w:left="238"/>
    </w:pPr>
    <w:rPr>
      <w:rFonts w:ascii="Calibri" w:hAnsi="Calibri"/>
      <w:i/>
      <w:szCs w:val="20"/>
      <w:lang w:eastAsia="en-US"/>
    </w:rPr>
  </w:style>
  <w:style w:type="paragraph" w:styleId="TOC4">
    <w:name w:val="toc 4"/>
    <w:basedOn w:val="Normal"/>
    <w:next w:val="Normal"/>
    <w:autoRedefine/>
    <w:semiHidden/>
    <w:rsid w:val="000F3BA2"/>
    <w:pPr>
      <w:ind w:left="480"/>
    </w:pPr>
    <w:rPr>
      <w:sz w:val="20"/>
    </w:rPr>
  </w:style>
  <w:style w:type="paragraph" w:styleId="TOC5">
    <w:name w:val="toc 5"/>
    <w:basedOn w:val="Normal"/>
    <w:next w:val="Normal"/>
    <w:autoRedefine/>
    <w:semiHidden/>
    <w:rsid w:val="000F3BA2"/>
    <w:pPr>
      <w:ind w:left="720"/>
    </w:pPr>
    <w:rPr>
      <w:sz w:val="20"/>
    </w:rPr>
  </w:style>
  <w:style w:type="paragraph" w:styleId="TOC6">
    <w:name w:val="toc 6"/>
    <w:basedOn w:val="Normal"/>
    <w:next w:val="Normal"/>
    <w:autoRedefine/>
    <w:semiHidden/>
    <w:rsid w:val="000F3BA2"/>
    <w:pPr>
      <w:ind w:left="960"/>
    </w:pPr>
    <w:rPr>
      <w:sz w:val="20"/>
    </w:rPr>
  </w:style>
  <w:style w:type="paragraph" w:styleId="TOC7">
    <w:name w:val="toc 7"/>
    <w:basedOn w:val="Normal"/>
    <w:next w:val="Normal"/>
    <w:autoRedefine/>
    <w:semiHidden/>
    <w:rsid w:val="000F3BA2"/>
    <w:pPr>
      <w:ind w:left="1200"/>
    </w:pPr>
    <w:rPr>
      <w:sz w:val="20"/>
    </w:rPr>
  </w:style>
  <w:style w:type="paragraph" w:styleId="TOC8">
    <w:name w:val="toc 8"/>
    <w:basedOn w:val="Normal"/>
    <w:next w:val="Normal"/>
    <w:autoRedefine/>
    <w:semiHidden/>
    <w:rsid w:val="000F3BA2"/>
    <w:pPr>
      <w:ind w:left="1440"/>
    </w:pPr>
    <w:rPr>
      <w:sz w:val="20"/>
    </w:rPr>
  </w:style>
  <w:style w:type="paragraph" w:styleId="TOC9">
    <w:name w:val="toc 9"/>
    <w:basedOn w:val="Normal"/>
    <w:next w:val="Normal"/>
    <w:autoRedefine/>
    <w:semiHidden/>
    <w:rsid w:val="000F3BA2"/>
    <w:pPr>
      <w:ind w:left="1680"/>
    </w:pPr>
    <w:rPr>
      <w:sz w:val="20"/>
    </w:rPr>
  </w:style>
  <w:style w:type="character" w:customStyle="1" w:styleId="Heading4Char">
    <w:name w:val="Heading 4 Char"/>
    <w:link w:val="Heading4"/>
    <w:rsid w:val="00A55552"/>
    <w:rPr>
      <w:rFonts w:ascii="Cambria" w:eastAsia="Times New Roman" w:hAnsi="Cambria" w:cs="Times New Roman"/>
      <w:b/>
      <w:bCs/>
      <w:sz w:val="28"/>
      <w:szCs w:val="28"/>
    </w:rPr>
  </w:style>
  <w:style w:type="paragraph" w:customStyle="1" w:styleId="Agency-heading-1">
    <w:name w:val="Agency-heading-1"/>
    <w:basedOn w:val="Normal"/>
    <w:next w:val="Agency-body-text"/>
    <w:qFormat/>
    <w:rsid w:val="00D1582E"/>
    <w:pPr>
      <w:keepNext/>
      <w:pBdr>
        <w:bottom w:val="single" w:sz="4" w:space="1" w:color="auto"/>
      </w:pBdr>
      <w:spacing w:before="400" w:after="400"/>
      <w:outlineLvl w:val="1"/>
    </w:pPr>
    <w:rPr>
      <w:rFonts w:ascii="Calibri" w:hAnsi="Calibri"/>
      <w:b/>
      <w:bCs/>
      <w:caps/>
      <w:color w:val="000000" w:themeColor="text1"/>
      <w:sz w:val="40"/>
      <w:szCs w:val="40"/>
      <w:lang w:eastAsia="en-US"/>
    </w:rPr>
  </w:style>
  <w:style w:type="paragraph" w:customStyle="1" w:styleId="Agency-heading-2">
    <w:name w:val="Agency-heading-2"/>
    <w:basedOn w:val="Normal"/>
    <w:next w:val="Agency-body-text"/>
    <w:qFormat/>
    <w:rsid w:val="007D4D30"/>
    <w:pPr>
      <w:keepNext/>
      <w:pBdr>
        <w:bottom w:val="single" w:sz="8" w:space="1" w:color="auto"/>
      </w:pBdr>
      <w:spacing w:before="320" w:after="240"/>
      <w:outlineLvl w:val="2"/>
    </w:pPr>
    <w:rPr>
      <w:rFonts w:ascii="Calibri" w:hAnsi="Calibri"/>
      <w:b/>
      <w:color w:val="000000"/>
      <w:sz w:val="32"/>
      <w:szCs w:val="28"/>
      <w:lang w:eastAsia="en-US"/>
    </w:rPr>
  </w:style>
  <w:style w:type="paragraph" w:customStyle="1" w:styleId="Agency-heading-3">
    <w:name w:val="Agency-heading-3"/>
    <w:basedOn w:val="Normal"/>
    <w:next w:val="Agency-body-text"/>
    <w:qFormat/>
    <w:rsid w:val="007D4D30"/>
    <w:pPr>
      <w:keepNext/>
      <w:spacing w:before="240" w:after="120"/>
      <w:outlineLvl w:val="3"/>
    </w:pPr>
    <w:rPr>
      <w:rFonts w:ascii="Calibri" w:hAnsi="Calibri"/>
      <w:b/>
      <w:color w:val="000000" w:themeColor="text1"/>
      <w:szCs w:val="26"/>
      <w:lang w:eastAsia="en-US"/>
    </w:rPr>
  </w:style>
  <w:style w:type="paragraph" w:customStyle="1" w:styleId="Agency-heading-4">
    <w:name w:val="Agency-heading-4"/>
    <w:basedOn w:val="Normal"/>
    <w:next w:val="Agency-body-text"/>
    <w:qFormat/>
    <w:rsid w:val="007D4D30"/>
    <w:pPr>
      <w:keepNext/>
      <w:spacing w:before="240" w:after="120"/>
      <w:outlineLvl w:val="4"/>
    </w:pPr>
    <w:rPr>
      <w:rFonts w:ascii="Calibri" w:hAnsi="Calibri"/>
      <w:bCs/>
      <w:i/>
      <w:szCs w:val="28"/>
      <w:lang w:eastAsia="en-US"/>
    </w:rPr>
  </w:style>
  <w:style w:type="paragraph" w:customStyle="1" w:styleId="Agency-caption">
    <w:name w:val="Agency-caption"/>
    <w:basedOn w:val="Normal"/>
    <w:next w:val="Agency-body-text"/>
    <w:qFormat/>
    <w:rsid w:val="003D4B50"/>
    <w:pPr>
      <w:spacing w:before="240" w:after="240"/>
    </w:pPr>
    <w:rPr>
      <w:rFonts w:ascii="Calibri" w:hAnsi="Calibri"/>
      <w:b/>
      <w:bCs/>
      <w:sz w:val="22"/>
      <w:szCs w:val="18"/>
      <w:lang w:eastAsia="en-US"/>
    </w:rPr>
  </w:style>
  <w:style w:type="paragraph" w:customStyle="1" w:styleId="Agency-footer">
    <w:name w:val="Agency-footer"/>
    <w:basedOn w:val="Normal"/>
    <w:qFormat/>
    <w:rsid w:val="00137A44"/>
    <w:rPr>
      <w:rFonts w:ascii="Calibri" w:hAnsi="Calibri"/>
      <w:color w:val="000000" w:themeColor="text1"/>
      <w:sz w:val="22"/>
      <w:szCs w:val="20"/>
      <w:lang w:eastAsia="en-US"/>
    </w:rPr>
  </w:style>
  <w:style w:type="paragraph" w:customStyle="1" w:styleId="Agency-footnote">
    <w:name w:val="Agency-footnote"/>
    <w:basedOn w:val="Normal"/>
    <w:qFormat/>
    <w:rsid w:val="005C1C45"/>
    <w:pPr>
      <w:spacing w:before="120" w:after="120"/>
    </w:pPr>
    <w:rPr>
      <w:rFonts w:ascii="Calibri" w:hAnsi="Calibri"/>
      <w:color w:val="000000"/>
      <w:sz w:val="20"/>
      <w:lang w:eastAsia="en-US"/>
    </w:rPr>
  </w:style>
  <w:style w:type="paragraph" w:customStyle="1" w:styleId="Agency-body-text">
    <w:name w:val="Agency-body-text"/>
    <w:basedOn w:val="Normal"/>
    <w:link w:val="Agency-body-textChar"/>
    <w:qFormat/>
    <w:rsid w:val="00AE5710"/>
    <w:pPr>
      <w:spacing w:before="120" w:after="120"/>
    </w:pPr>
    <w:rPr>
      <w:rFonts w:ascii="Calibri" w:hAnsi="Calibri"/>
      <w:color w:val="000000" w:themeColor="text1"/>
      <w:szCs w:val="20"/>
      <w:lang w:eastAsia="en-US"/>
    </w:rPr>
  </w:style>
  <w:style w:type="paragraph" w:styleId="FootnoteText">
    <w:name w:val="footnote text"/>
    <w:basedOn w:val="Normal"/>
    <w:link w:val="FootnoteTextChar"/>
    <w:rsid w:val="00A8402E"/>
    <w:rPr>
      <w:lang w:eastAsia="en-US"/>
    </w:rPr>
  </w:style>
  <w:style w:type="character" w:customStyle="1" w:styleId="FootnoteTextChar">
    <w:name w:val="Footnote Text Char"/>
    <w:link w:val="FootnoteText"/>
    <w:rsid w:val="00A8402E"/>
    <w:rPr>
      <w:sz w:val="24"/>
      <w:szCs w:val="24"/>
      <w:lang w:val="en-GB"/>
    </w:rPr>
  </w:style>
  <w:style w:type="character" w:styleId="FootnoteReference">
    <w:name w:val="footnote reference"/>
    <w:rsid w:val="00A8402E"/>
    <w:rPr>
      <w:vertAlign w:val="superscript"/>
    </w:rPr>
  </w:style>
  <w:style w:type="paragraph" w:customStyle="1" w:styleId="Agency-quotation">
    <w:name w:val="Agency-quotation"/>
    <w:basedOn w:val="Normal"/>
    <w:next w:val="Normal"/>
    <w:qFormat/>
    <w:rsid w:val="00F71FD3"/>
    <w:pPr>
      <w:spacing w:before="240" w:after="240"/>
      <w:ind w:left="567" w:right="567"/>
    </w:pPr>
    <w:rPr>
      <w:rFonts w:ascii="Calibri" w:hAnsi="Calibri"/>
      <w:color w:val="000000" w:themeColor="text1"/>
      <w:lang w:eastAsia="en-US"/>
    </w:rPr>
  </w:style>
  <w:style w:type="paragraph" w:customStyle="1" w:styleId="Agency-title">
    <w:name w:val="Agency-title"/>
    <w:basedOn w:val="Heading1"/>
    <w:next w:val="Agency-body-text"/>
    <w:qFormat/>
    <w:rsid w:val="00ED019D"/>
    <w:pPr>
      <w:spacing w:before="3600" w:after="360"/>
      <w:jc w:val="center"/>
    </w:pPr>
    <w:rPr>
      <w:rFonts w:asciiTheme="majorHAnsi" w:hAnsiTheme="majorHAnsi"/>
      <w:caps/>
      <w:sz w:val="72"/>
    </w:rPr>
  </w:style>
  <w:style w:type="character" w:styleId="Hyperlink">
    <w:name w:val="Hyperlink"/>
    <w:basedOn w:val="DefaultParagraphFont"/>
    <w:uiPriority w:val="99"/>
    <w:unhideWhenUsed/>
    <w:rsid w:val="00742CEF"/>
    <w:rPr>
      <w:color w:val="0000FF" w:themeColor="hyperlink"/>
      <w:u w:val="single"/>
    </w:rPr>
  </w:style>
  <w:style w:type="character" w:customStyle="1" w:styleId="Agency-body-textChar">
    <w:name w:val="Agency-body-text Char"/>
    <w:basedOn w:val="DefaultParagraphFont"/>
    <w:link w:val="Agency-body-text"/>
    <w:rsid w:val="00AE5710"/>
    <w:rPr>
      <w:rFonts w:ascii="Calibri" w:hAnsi="Calibri"/>
      <w:color w:val="000000" w:themeColor="text1"/>
      <w:sz w:val="24"/>
      <w:lang w:val="pl-PL"/>
    </w:rPr>
  </w:style>
  <w:style w:type="character" w:styleId="CommentReference">
    <w:name w:val="annotation reference"/>
    <w:basedOn w:val="DefaultParagraphFont"/>
    <w:semiHidden/>
    <w:unhideWhenUsed/>
    <w:rsid w:val="002726DF"/>
    <w:rPr>
      <w:sz w:val="16"/>
      <w:szCs w:val="16"/>
    </w:rPr>
  </w:style>
  <w:style w:type="paragraph" w:styleId="CommentText">
    <w:name w:val="annotation text"/>
    <w:basedOn w:val="Normal"/>
    <w:link w:val="CommentTextChar"/>
    <w:semiHidden/>
    <w:unhideWhenUsed/>
    <w:rsid w:val="002726DF"/>
    <w:rPr>
      <w:sz w:val="20"/>
      <w:szCs w:val="20"/>
      <w:lang w:eastAsia="en-US"/>
    </w:rPr>
  </w:style>
  <w:style w:type="character" w:customStyle="1" w:styleId="CommentTextChar">
    <w:name w:val="Comment Text Char"/>
    <w:basedOn w:val="DefaultParagraphFont"/>
    <w:link w:val="CommentText"/>
    <w:semiHidden/>
    <w:rsid w:val="002726DF"/>
  </w:style>
  <w:style w:type="paragraph" w:customStyle="1" w:styleId="paragraph">
    <w:name w:val="paragraph"/>
    <w:basedOn w:val="Normal"/>
    <w:rsid w:val="002726DF"/>
    <w:pPr>
      <w:spacing w:before="100" w:beforeAutospacing="1" w:after="100" w:afterAutospacing="1"/>
    </w:pPr>
  </w:style>
  <w:style w:type="character" w:customStyle="1" w:styleId="normaltextrun">
    <w:name w:val="normaltextrun"/>
    <w:basedOn w:val="DefaultParagraphFont"/>
    <w:rsid w:val="002726DF"/>
  </w:style>
  <w:style w:type="character" w:customStyle="1" w:styleId="eop">
    <w:name w:val="eop"/>
    <w:basedOn w:val="DefaultParagraphFont"/>
    <w:rsid w:val="002726DF"/>
  </w:style>
  <w:style w:type="table" w:customStyle="1" w:styleId="Tabela-Siatka1">
    <w:name w:val="Tabela - Siatka1"/>
    <w:basedOn w:val="TableNormal"/>
    <w:next w:val="TableGrid"/>
    <w:uiPriority w:val="39"/>
    <w:rsid w:val="002726DF"/>
    <w:rPr>
      <w:rFonts w:ascii="Calibri" w:eastAsia="Calibri" w:hAnsi="Calibri" w:cs="Calibri"/>
      <w:sz w:val="24"/>
      <w:szCs w:val="24"/>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72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5E2964"/>
    <w:rPr>
      <w:b/>
      <w:bCs/>
    </w:rPr>
  </w:style>
  <w:style w:type="character" w:customStyle="1" w:styleId="CommentSubjectChar">
    <w:name w:val="Comment Subject Char"/>
    <w:basedOn w:val="CommentTextChar"/>
    <w:link w:val="CommentSubject"/>
    <w:semiHidden/>
    <w:rsid w:val="005E2964"/>
    <w:rPr>
      <w:b/>
      <w:bCs/>
    </w:rPr>
  </w:style>
  <w:style w:type="character" w:styleId="FollowedHyperlink">
    <w:name w:val="FollowedHyperlink"/>
    <w:basedOn w:val="DefaultParagraphFont"/>
    <w:semiHidden/>
    <w:unhideWhenUsed/>
    <w:rsid w:val="00C33A88"/>
    <w:rPr>
      <w:color w:val="800080" w:themeColor="followedHyperlink"/>
      <w:u w:val="single"/>
    </w:rPr>
  </w:style>
  <w:style w:type="paragraph" w:styleId="ListParagraph">
    <w:name w:val="List Paragraph"/>
    <w:basedOn w:val="Normal"/>
    <w:rsid w:val="00B70383"/>
    <w:pPr>
      <w:ind w:left="720"/>
      <w:contextualSpacing/>
    </w:pPr>
    <w:rPr>
      <w:szCs w:val="20"/>
      <w:lang w:eastAsia="en-US"/>
    </w:rPr>
  </w:style>
  <w:style w:type="character" w:customStyle="1" w:styleId="UnresolvedMention1">
    <w:name w:val="Unresolved Mention1"/>
    <w:basedOn w:val="DefaultParagraphFont"/>
    <w:rsid w:val="00BF4B87"/>
    <w:rPr>
      <w:color w:val="605E5C"/>
      <w:shd w:val="clear" w:color="auto" w:fill="E1DFDD"/>
    </w:rPr>
  </w:style>
  <w:style w:type="paragraph" w:styleId="NormalWeb">
    <w:name w:val="Normal (Web)"/>
    <w:basedOn w:val="Normal"/>
    <w:uiPriority w:val="99"/>
    <w:unhideWhenUsed/>
    <w:rsid w:val="00B0113D"/>
    <w:pPr>
      <w:spacing w:before="100" w:beforeAutospacing="1" w:after="100" w:afterAutospacing="1"/>
    </w:pPr>
  </w:style>
  <w:style w:type="paragraph" w:customStyle="1" w:styleId="Default">
    <w:name w:val="Default"/>
    <w:rsid w:val="00B91E5A"/>
    <w:pPr>
      <w:autoSpaceDE w:val="0"/>
      <w:autoSpaceDN w:val="0"/>
      <w:adjustRightInd w:val="0"/>
    </w:pPr>
    <w:rPr>
      <w:rFonts w:ascii="Myriad Pro" w:hAnsi="Myriad Pro" w:cs="Myriad Pro"/>
      <w:color w:val="000000"/>
      <w:sz w:val="24"/>
      <w:szCs w:val="24"/>
    </w:rPr>
  </w:style>
  <w:style w:type="paragraph" w:customStyle="1" w:styleId="Pa1">
    <w:name w:val="Pa1"/>
    <w:basedOn w:val="Default"/>
    <w:next w:val="Default"/>
    <w:uiPriority w:val="99"/>
    <w:rsid w:val="00326E47"/>
    <w:pPr>
      <w:spacing w:line="191" w:lineRule="atLeast"/>
    </w:pPr>
    <w:rPr>
      <w:rFonts w:cs="Times New Roman"/>
      <w:color w:val="auto"/>
    </w:rPr>
  </w:style>
  <w:style w:type="character" w:customStyle="1" w:styleId="apple-converted-space">
    <w:name w:val="apple-converted-space"/>
    <w:basedOn w:val="DefaultParagraphFont"/>
    <w:rsid w:val="00426D35"/>
  </w:style>
  <w:style w:type="character" w:customStyle="1" w:styleId="s7">
    <w:name w:val="s7"/>
    <w:basedOn w:val="DefaultParagraphFont"/>
    <w:rsid w:val="00426D35"/>
  </w:style>
  <w:style w:type="character" w:customStyle="1" w:styleId="s11">
    <w:name w:val="s11"/>
    <w:basedOn w:val="DefaultParagraphFont"/>
    <w:rsid w:val="00426D35"/>
  </w:style>
  <w:style w:type="paragraph" w:styleId="Revision">
    <w:name w:val="Revision"/>
    <w:hidden/>
    <w:semiHidden/>
    <w:rsid w:val="00DB1B8C"/>
    <w:rPr>
      <w:sz w:val="24"/>
      <w:szCs w:val="24"/>
      <w:lang w:eastAsia="en-GB"/>
    </w:rPr>
  </w:style>
  <w:style w:type="character" w:customStyle="1" w:styleId="Nierozpoznanawzmianka1">
    <w:name w:val="Nierozpoznana wzmianka1"/>
    <w:basedOn w:val="DefaultParagraphFont"/>
    <w:uiPriority w:val="99"/>
    <w:semiHidden/>
    <w:unhideWhenUsed/>
    <w:rsid w:val="00943FCC"/>
    <w:rPr>
      <w:color w:val="605E5C"/>
      <w:shd w:val="clear" w:color="auto" w:fill="E1DFDD"/>
    </w:rPr>
  </w:style>
  <w:style w:type="character" w:styleId="Emphasis">
    <w:name w:val="Emphasis"/>
    <w:basedOn w:val="DefaultParagraphFont"/>
    <w:uiPriority w:val="20"/>
    <w:qFormat/>
    <w:rsid w:val="00F57773"/>
    <w:rPr>
      <w:i/>
      <w:iCs/>
    </w:rPr>
  </w:style>
  <w:style w:type="character" w:customStyle="1" w:styleId="smallcaps">
    <w:name w:val="smallcaps"/>
    <w:basedOn w:val="DefaultParagraphFont"/>
    <w:rsid w:val="00F57773"/>
  </w:style>
  <w:style w:type="character" w:styleId="UnresolvedMention">
    <w:name w:val="Unresolved Mention"/>
    <w:basedOn w:val="DefaultParagraphFont"/>
    <w:uiPriority w:val="99"/>
    <w:semiHidden/>
    <w:unhideWhenUsed/>
    <w:rsid w:val="00F57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9350">
      <w:bodyDiv w:val="1"/>
      <w:marLeft w:val="0"/>
      <w:marRight w:val="0"/>
      <w:marTop w:val="0"/>
      <w:marBottom w:val="0"/>
      <w:divBdr>
        <w:top w:val="none" w:sz="0" w:space="0" w:color="auto"/>
        <w:left w:val="none" w:sz="0" w:space="0" w:color="auto"/>
        <w:bottom w:val="none" w:sz="0" w:space="0" w:color="auto"/>
        <w:right w:val="none" w:sz="0" w:space="0" w:color="auto"/>
      </w:divBdr>
    </w:div>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254553446">
      <w:bodyDiv w:val="1"/>
      <w:marLeft w:val="0"/>
      <w:marRight w:val="0"/>
      <w:marTop w:val="0"/>
      <w:marBottom w:val="0"/>
      <w:divBdr>
        <w:top w:val="none" w:sz="0" w:space="0" w:color="auto"/>
        <w:left w:val="none" w:sz="0" w:space="0" w:color="auto"/>
        <w:bottom w:val="none" w:sz="0" w:space="0" w:color="auto"/>
        <w:right w:val="none" w:sz="0" w:space="0" w:color="auto"/>
      </w:divBdr>
    </w:div>
    <w:div w:id="278342301">
      <w:bodyDiv w:val="1"/>
      <w:marLeft w:val="0"/>
      <w:marRight w:val="0"/>
      <w:marTop w:val="0"/>
      <w:marBottom w:val="0"/>
      <w:divBdr>
        <w:top w:val="none" w:sz="0" w:space="0" w:color="auto"/>
        <w:left w:val="none" w:sz="0" w:space="0" w:color="auto"/>
        <w:bottom w:val="none" w:sz="0" w:space="0" w:color="auto"/>
        <w:right w:val="none" w:sz="0" w:space="0" w:color="auto"/>
      </w:divBdr>
    </w:div>
    <w:div w:id="335428443">
      <w:bodyDiv w:val="1"/>
      <w:marLeft w:val="0"/>
      <w:marRight w:val="0"/>
      <w:marTop w:val="0"/>
      <w:marBottom w:val="0"/>
      <w:divBdr>
        <w:top w:val="none" w:sz="0" w:space="0" w:color="auto"/>
        <w:left w:val="none" w:sz="0" w:space="0" w:color="auto"/>
        <w:bottom w:val="none" w:sz="0" w:space="0" w:color="auto"/>
        <w:right w:val="none" w:sz="0" w:space="0" w:color="auto"/>
      </w:divBdr>
    </w:div>
    <w:div w:id="339741623">
      <w:bodyDiv w:val="1"/>
      <w:marLeft w:val="0"/>
      <w:marRight w:val="0"/>
      <w:marTop w:val="0"/>
      <w:marBottom w:val="0"/>
      <w:divBdr>
        <w:top w:val="none" w:sz="0" w:space="0" w:color="auto"/>
        <w:left w:val="none" w:sz="0" w:space="0" w:color="auto"/>
        <w:bottom w:val="none" w:sz="0" w:space="0" w:color="auto"/>
        <w:right w:val="none" w:sz="0" w:space="0" w:color="auto"/>
      </w:divBdr>
    </w:div>
    <w:div w:id="370039027">
      <w:bodyDiv w:val="1"/>
      <w:marLeft w:val="0"/>
      <w:marRight w:val="0"/>
      <w:marTop w:val="0"/>
      <w:marBottom w:val="0"/>
      <w:divBdr>
        <w:top w:val="none" w:sz="0" w:space="0" w:color="auto"/>
        <w:left w:val="none" w:sz="0" w:space="0" w:color="auto"/>
        <w:bottom w:val="none" w:sz="0" w:space="0" w:color="auto"/>
        <w:right w:val="none" w:sz="0" w:space="0" w:color="auto"/>
      </w:divBdr>
      <w:divsChild>
        <w:div w:id="1292054105">
          <w:marLeft w:val="0"/>
          <w:marRight w:val="0"/>
          <w:marTop w:val="0"/>
          <w:marBottom w:val="133"/>
          <w:divBdr>
            <w:top w:val="none" w:sz="0" w:space="0" w:color="auto"/>
            <w:left w:val="none" w:sz="0" w:space="0" w:color="auto"/>
            <w:bottom w:val="none" w:sz="0" w:space="0" w:color="auto"/>
            <w:right w:val="none" w:sz="0" w:space="0" w:color="auto"/>
          </w:divBdr>
          <w:divsChild>
            <w:div w:id="1126047478">
              <w:marLeft w:val="0"/>
              <w:marRight w:val="0"/>
              <w:marTop w:val="0"/>
              <w:marBottom w:val="0"/>
              <w:divBdr>
                <w:top w:val="none" w:sz="0" w:space="0" w:color="auto"/>
                <w:left w:val="none" w:sz="0" w:space="0" w:color="auto"/>
                <w:bottom w:val="none" w:sz="0" w:space="0" w:color="auto"/>
                <w:right w:val="none" w:sz="0" w:space="0" w:color="auto"/>
              </w:divBdr>
              <w:divsChild>
                <w:div w:id="8885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1091">
          <w:marLeft w:val="0"/>
          <w:marRight w:val="0"/>
          <w:marTop w:val="0"/>
          <w:marBottom w:val="133"/>
          <w:divBdr>
            <w:top w:val="none" w:sz="0" w:space="0" w:color="auto"/>
            <w:left w:val="none" w:sz="0" w:space="0" w:color="auto"/>
            <w:bottom w:val="none" w:sz="0" w:space="0" w:color="auto"/>
            <w:right w:val="none" w:sz="0" w:space="0" w:color="auto"/>
          </w:divBdr>
          <w:divsChild>
            <w:div w:id="404108434">
              <w:marLeft w:val="0"/>
              <w:marRight w:val="0"/>
              <w:marTop w:val="0"/>
              <w:marBottom w:val="0"/>
              <w:divBdr>
                <w:top w:val="none" w:sz="0" w:space="0" w:color="auto"/>
                <w:left w:val="none" w:sz="0" w:space="0" w:color="auto"/>
                <w:bottom w:val="none" w:sz="0" w:space="0" w:color="auto"/>
                <w:right w:val="none" w:sz="0" w:space="0" w:color="auto"/>
              </w:divBdr>
              <w:divsChild>
                <w:div w:id="746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09155">
      <w:bodyDiv w:val="1"/>
      <w:marLeft w:val="0"/>
      <w:marRight w:val="0"/>
      <w:marTop w:val="0"/>
      <w:marBottom w:val="0"/>
      <w:divBdr>
        <w:top w:val="none" w:sz="0" w:space="0" w:color="auto"/>
        <w:left w:val="none" w:sz="0" w:space="0" w:color="auto"/>
        <w:bottom w:val="none" w:sz="0" w:space="0" w:color="auto"/>
        <w:right w:val="none" w:sz="0" w:space="0" w:color="auto"/>
      </w:divBdr>
    </w:div>
    <w:div w:id="464153944">
      <w:bodyDiv w:val="1"/>
      <w:marLeft w:val="0"/>
      <w:marRight w:val="0"/>
      <w:marTop w:val="0"/>
      <w:marBottom w:val="0"/>
      <w:divBdr>
        <w:top w:val="none" w:sz="0" w:space="0" w:color="auto"/>
        <w:left w:val="none" w:sz="0" w:space="0" w:color="auto"/>
        <w:bottom w:val="none" w:sz="0" w:space="0" w:color="auto"/>
        <w:right w:val="none" w:sz="0" w:space="0" w:color="auto"/>
      </w:divBdr>
      <w:divsChild>
        <w:div w:id="300308790">
          <w:marLeft w:val="720"/>
          <w:marRight w:val="0"/>
          <w:marTop w:val="211"/>
          <w:marBottom w:val="0"/>
          <w:divBdr>
            <w:top w:val="none" w:sz="0" w:space="0" w:color="auto"/>
            <w:left w:val="none" w:sz="0" w:space="0" w:color="auto"/>
            <w:bottom w:val="none" w:sz="0" w:space="0" w:color="auto"/>
            <w:right w:val="none" w:sz="0" w:space="0" w:color="auto"/>
          </w:divBdr>
        </w:div>
        <w:div w:id="171842356">
          <w:marLeft w:val="720"/>
          <w:marRight w:val="0"/>
          <w:marTop w:val="211"/>
          <w:marBottom w:val="0"/>
          <w:divBdr>
            <w:top w:val="none" w:sz="0" w:space="0" w:color="auto"/>
            <w:left w:val="none" w:sz="0" w:space="0" w:color="auto"/>
            <w:bottom w:val="none" w:sz="0" w:space="0" w:color="auto"/>
            <w:right w:val="none" w:sz="0" w:space="0" w:color="auto"/>
          </w:divBdr>
        </w:div>
      </w:divsChild>
    </w:div>
    <w:div w:id="536820570">
      <w:bodyDiv w:val="1"/>
      <w:marLeft w:val="0"/>
      <w:marRight w:val="0"/>
      <w:marTop w:val="0"/>
      <w:marBottom w:val="0"/>
      <w:divBdr>
        <w:top w:val="none" w:sz="0" w:space="0" w:color="auto"/>
        <w:left w:val="none" w:sz="0" w:space="0" w:color="auto"/>
        <w:bottom w:val="none" w:sz="0" w:space="0" w:color="auto"/>
        <w:right w:val="none" w:sz="0" w:space="0" w:color="auto"/>
      </w:divBdr>
    </w:div>
    <w:div w:id="578833920">
      <w:bodyDiv w:val="1"/>
      <w:marLeft w:val="0"/>
      <w:marRight w:val="0"/>
      <w:marTop w:val="0"/>
      <w:marBottom w:val="0"/>
      <w:divBdr>
        <w:top w:val="none" w:sz="0" w:space="0" w:color="auto"/>
        <w:left w:val="none" w:sz="0" w:space="0" w:color="auto"/>
        <w:bottom w:val="none" w:sz="0" w:space="0" w:color="auto"/>
        <w:right w:val="none" w:sz="0" w:space="0" w:color="auto"/>
      </w:divBdr>
    </w:div>
    <w:div w:id="598148408">
      <w:bodyDiv w:val="1"/>
      <w:marLeft w:val="0"/>
      <w:marRight w:val="0"/>
      <w:marTop w:val="0"/>
      <w:marBottom w:val="0"/>
      <w:divBdr>
        <w:top w:val="none" w:sz="0" w:space="0" w:color="auto"/>
        <w:left w:val="none" w:sz="0" w:space="0" w:color="auto"/>
        <w:bottom w:val="none" w:sz="0" w:space="0" w:color="auto"/>
        <w:right w:val="none" w:sz="0" w:space="0" w:color="auto"/>
      </w:divBdr>
    </w:div>
    <w:div w:id="676543337">
      <w:bodyDiv w:val="1"/>
      <w:marLeft w:val="0"/>
      <w:marRight w:val="0"/>
      <w:marTop w:val="0"/>
      <w:marBottom w:val="0"/>
      <w:divBdr>
        <w:top w:val="none" w:sz="0" w:space="0" w:color="auto"/>
        <w:left w:val="none" w:sz="0" w:space="0" w:color="auto"/>
        <w:bottom w:val="none" w:sz="0" w:space="0" w:color="auto"/>
        <w:right w:val="none" w:sz="0" w:space="0" w:color="auto"/>
      </w:divBdr>
    </w:div>
    <w:div w:id="698900245">
      <w:bodyDiv w:val="1"/>
      <w:marLeft w:val="0"/>
      <w:marRight w:val="0"/>
      <w:marTop w:val="0"/>
      <w:marBottom w:val="0"/>
      <w:divBdr>
        <w:top w:val="none" w:sz="0" w:space="0" w:color="auto"/>
        <w:left w:val="none" w:sz="0" w:space="0" w:color="auto"/>
        <w:bottom w:val="none" w:sz="0" w:space="0" w:color="auto"/>
        <w:right w:val="none" w:sz="0" w:space="0" w:color="auto"/>
      </w:divBdr>
    </w:div>
    <w:div w:id="831798997">
      <w:bodyDiv w:val="1"/>
      <w:marLeft w:val="0"/>
      <w:marRight w:val="0"/>
      <w:marTop w:val="0"/>
      <w:marBottom w:val="0"/>
      <w:divBdr>
        <w:top w:val="none" w:sz="0" w:space="0" w:color="auto"/>
        <w:left w:val="none" w:sz="0" w:space="0" w:color="auto"/>
        <w:bottom w:val="none" w:sz="0" w:space="0" w:color="auto"/>
        <w:right w:val="none" w:sz="0" w:space="0" w:color="auto"/>
      </w:divBdr>
    </w:div>
    <w:div w:id="854072916">
      <w:bodyDiv w:val="1"/>
      <w:marLeft w:val="0"/>
      <w:marRight w:val="0"/>
      <w:marTop w:val="0"/>
      <w:marBottom w:val="0"/>
      <w:divBdr>
        <w:top w:val="none" w:sz="0" w:space="0" w:color="auto"/>
        <w:left w:val="none" w:sz="0" w:space="0" w:color="auto"/>
        <w:bottom w:val="none" w:sz="0" w:space="0" w:color="auto"/>
        <w:right w:val="none" w:sz="0" w:space="0" w:color="auto"/>
      </w:divBdr>
      <w:divsChild>
        <w:div w:id="1659066922">
          <w:marLeft w:val="0"/>
          <w:marRight w:val="0"/>
          <w:marTop w:val="0"/>
          <w:marBottom w:val="0"/>
          <w:divBdr>
            <w:top w:val="none" w:sz="0" w:space="0" w:color="auto"/>
            <w:left w:val="none" w:sz="0" w:space="0" w:color="auto"/>
            <w:bottom w:val="none" w:sz="0" w:space="0" w:color="auto"/>
            <w:right w:val="none" w:sz="0" w:space="0" w:color="auto"/>
          </w:divBdr>
          <w:divsChild>
            <w:div w:id="1769502534">
              <w:marLeft w:val="0"/>
              <w:marRight w:val="0"/>
              <w:marTop w:val="0"/>
              <w:marBottom w:val="0"/>
              <w:divBdr>
                <w:top w:val="none" w:sz="0" w:space="0" w:color="auto"/>
                <w:left w:val="none" w:sz="0" w:space="0" w:color="auto"/>
                <w:bottom w:val="none" w:sz="0" w:space="0" w:color="auto"/>
                <w:right w:val="none" w:sz="0" w:space="0" w:color="auto"/>
              </w:divBdr>
              <w:divsChild>
                <w:div w:id="2069263704">
                  <w:marLeft w:val="0"/>
                  <w:marRight w:val="0"/>
                  <w:marTop w:val="0"/>
                  <w:marBottom w:val="0"/>
                  <w:divBdr>
                    <w:top w:val="none" w:sz="0" w:space="0" w:color="auto"/>
                    <w:left w:val="none" w:sz="0" w:space="0" w:color="auto"/>
                    <w:bottom w:val="none" w:sz="0" w:space="0" w:color="auto"/>
                    <w:right w:val="none" w:sz="0" w:space="0" w:color="auto"/>
                  </w:divBdr>
                  <w:divsChild>
                    <w:div w:id="6203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9853">
      <w:bodyDiv w:val="1"/>
      <w:marLeft w:val="0"/>
      <w:marRight w:val="0"/>
      <w:marTop w:val="0"/>
      <w:marBottom w:val="0"/>
      <w:divBdr>
        <w:top w:val="none" w:sz="0" w:space="0" w:color="auto"/>
        <w:left w:val="none" w:sz="0" w:space="0" w:color="auto"/>
        <w:bottom w:val="none" w:sz="0" w:space="0" w:color="auto"/>
        <w:right w:val="none" w:sz="0" w:space="0" w:color="auto"/>
      </w:divBdr>
    </w:div>
    <w:div w:id="1002898336">
      <w:bodyDiv w:val="1"/>
      <w:marLeft w:val="0"/>
      <w:marRight w:val="0"/>
      <w:marTop w:val="0"/>
      <w:marBottom w:val="0"/>
      <w:divBdr>
        <w:top w:val="none" w:sz="0" w:space="0" w:color="auto"/>
        <w:left w:val="none" w:sz="0" w:space="0" w:color="auto"/>
        <w:bottom w:val="none" w:sz="0" w:space="0" w:color="auto"/>
        <w:right w:val="none" w:sz="0" w:space="0" w:color="auto"/>
      </w:divBdr>
    </w:div>
    <w:div w:id="1297560985">
      <w:bodyDiv w:val="1"/>
      <w:marLeft w:val="0"/>
      <w:marRight w:val="0"/>
      <w:marTop w:val="0"/>
      <w:marBottom w:val="0"/>
      <w:divBdr>
        <w:top w:val="none" w:sz="0" w:space="0" w:color="auto"/>
        <w:left w:val="none" w:sz="0" w:space="0" w:color="auto"/>
        <w:bottom w:val="none" w:sz="0" w:space="0" w:color="auto"/>
        <w:right w:val="none" w:sz="0" w:space="0" w:color="auto"/>
      </w:divBdr>
    </w:div>
    <w:div w:id="1361928737">
      <w:bodyDiv w:val="1"/>
      <w:marLeft w:val="0"/>
      <w:marRight w:val="0"/>
      <w:marTop w:val="0"/>
      <w:marBottom w:val="0"/>
      <w:divBdr>
        <w:top w:val="none" w:sz="0" w:space="0" w:color="auto"/>
        <w:left w:val="none" w:sz="0" w:space="0" w:color="auto"/>
        <w:bottom w:val="none" w:sz="0" w:space="0" w:color="auto"/>
        <w:right w:val="none" w:sz="0" w:space="0" w:color="auto"/>
      </w:divBdr>
      <w:divsChild>
        <w:div w:id="430972425">
          <w:marLeft w:val="720"/>
          <w:marRight w:val="0"/>
          <w:marTop w:val="211"/>
          <w:marBottom w:val="0"/>
          <w:divBdr>
            <w:top w:val="none" w:sz="0" w:space="0" w:color="auto"/>
            <w:left w:val="none" w:sz="0" w:space="0" w:color="auto"/>
            <w:bottom w:val="none" w:sz="0" w:space="0" w:color="auto"/>
            <w:right w:val="none" w:sz="0" w:space="0" w:color="auto"/>
          </w:divBdr>
        </w:div>
        <w:div w:id="392973029">
          <w:marLeft w:val="720"/>
          <w:marRight w:val="0"/>
          <w:marTop w:val="211"/>
          <w:marBottom w:val="0"/>
          <w:divBdr>
            <w:top w:val="none" w:sz="0" w:space="0" w:color="auto"/>
            <w:left w:val="none" w:sz="0" w:space="0" w:color="auto"/>
            <w:bottom w:val="none" w:sz="0" w:space="0" w:color="auto"/>
            <w:right w:val="none" w:sz="0" w:space="0" w:color="auto"/>
          </w:divBdr>
        </w:div>
      </w:divsChild>
    </w:div>
    <w:div w:id="1381392646">
      <w:bodyDiv w:val="1"/>
      <w:marLeft w:val="0"/>
      <w:marRight w:val="0"/>
      <w:marTop w:val="0"/>
      <w:marBottom w:val="0"/>
      <w:divBdr>
        <w:top w:val="none" w:sz="0" w:space="0" w:color="auto"/>
        <w:left w:val="none" w:sz="0" w:space="0" w:color="auto"/>
        <w:bottom w:val="none" w:sz="0" w:space="0" w:color="auto"/>
        <w:right w:val="none" w:sz="0" w:space="0" w:color="auto"/>
      </w:divBdr>
    </w:div>
    <w:div w:id="1395853014">
      <w:bodyDiv w:val="1"/>
      <w:marLeft w:val="0"/>
      <w:marRight w:val="0"/>
      <w:marTop w:val="0"/>
      <w:marBottom w:val="0"/>
      <w:divBdr>
        <w:top w:val="none" w:sz="0" w:space="0" w:color="auto"/>
        <w:left w:val="none" w:sz="0" w:space="0" w:color="auto"/>
        <w:bottom w:val="none" w:sz="0" w:space="0" w:color="auto"/>
        <w:right w:val="none" w:sz="0" w:space="0" w:color="auto"/>
      </w:divBdr>
    </w:div>
    <w:div w:id="1425610278">
      <w:bodyDiv w:val="1"/>
      <w:marLeft w:val="0"/>
      <w:marRight w:val="0"/>
      <w:marTop w:val="0"/>
      <w:marBottom w:val="0"/>
      <w:divBdr>
        <w:top w:val="none" w:sz="0" w:space="0" w:color="auto"/>
        <w:left w:val="none" w:sz="0" w:space="0" w:color="auto"/>
        <w:bottom w:val="none" w:sz="0" w:space="0" w:color="auto"/>
        <w:right w:val="none" w:sz="0" w:space="0" w:color="auto"/>
      </w:divBdr>
    </w:div>
    <w:div w:id="1489007497">
      <w:bodyDiv w:val="1"/>
      <w:marLeft w:val="0"/>
      <w:marRight w:val="0"/>
      <w:marTop w:val="0"/>
      <w:marBottom w:val="0"/>
      <w:divBdr>
        <w:top w:val="none" w:sz="0" w:space="0" w:color="auto"/>
        <w:left w:val="none" w:sz="0" w:space="0" w:color="auto"/>
        <w:bottom w:val="none" w:sz="0" w:space="0" w:color="auto"/>
        <w:right w:val="none" w:sz="0" w:space="0" w:color="auto"/>
      </w:divBdr>
      <w:divsChild>
        <w:div w:id="838084693">
          <w:marLeft w:val="0"/>
          <w:marRight w:val="0"/>
          <w:marTop w:val="0"/>
          <w:marBottom w:val="0"/>
          <w:divBdr>
            <w:top w:val="none" w:sz="0" w:space="0" w:color="auto"/>
            <w:left w:val="none" w:sz="0" w:space="0" w:color="auto"/>
            <w:bottom w:val="none" w:sz="0" w:space="0" w:color="auto"/>
            <w:right w:val="none" w:sz="0" w:space="0" w:color="auto"/>
          </w:divBdr>
          <w:divsChild>
            <w:div w:id="342324544">
              <w:marLeft w:val="0"/>
              <w:marRight w:val="0"/>
              <w:marTop w:val="0"/>
              <w:marBottom w:val="0"/>
              <w:divBdr>
                <w:top w:val="none" w:sz="0" w:space="0" w:color="auto"/>
                <w:left w:val="none" w:sz="0" w:space="0" w:color="auto"/>
                <w:bottom w:val="none" w:sz="0" w:space="0" w:color="auto"/>
                <w:right w:val="none" w:sz="0" w:space="0" w:color="auto"/>
              </w:divBdr>
              <w:divsChild>
                <w:div w:id="322322747">
                  <w:marLeft w:val="0"/>
                  <w:marRight w:val="0"/>
                  <w:marTop w:val="0"/>
                  <w:marBottom w:val="0"/>
                  <w:divBdr>
                    <w:top w:val="none" w:sz="0" w:space="0" w:color="auto"/>
                    <w:left w:val="none" w:sz="0" w:space="0" w:color="auto"/>
                    <w:bottom w:val="none" w:sz="0" w:space="0" w:color="auto"/>
                    <w:right w:val="none" w:sz="0" w:space="0" w:color="auto"/>
                  </w:divBdr>
                  <w:divsChild>
                    <w:div w:id="10682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20222">
      <w:bodyDiv w:val="1"/>
      <w:marLeft w:val="0"/>
      <w:marRight w:val="0"/>
      <w:marTop w:val="0"/>
      <w:marBottom w:val="0"/>
      <w:divBdr>
        <w:top w:val="none" w:sz="0" w:space="0" w:color="auto"/>
        <w:left w:val="none" w:sz="0" w:space="0" w:color="auto"/>
        <w:bottom w:val="none" w:sz="0" w:space="0" w:color="auto"/>
        <w:right w:val="none" w:sz="0" w:space="0" w:color="auto"/>
      </w:divBdr>
      <w:divsChild>
        <w:div w:id="451366413">
          <w:marLeft w:val="0"/>
          <w:marRight w:val="0"/>
          <w:marTop w:val="0"/>
          <w:marBottom w:val="0"/>
          <w:divBdr>
            <w:top w:val="none" w:sz="0" w:space="0" w:color="auto"/>
            <w:left w:val="none" w:sz="0" w:space="0" w:color="auto"/>
            <w:bottom w:val="none" w:sz="0" w:space="0" w:color="auto"/>
            <w:right w:val="none" w:sz="0" w:space="0" w:color="auto"/>
          </w:divBdr>
          <w:divsChild>
            <w:div w:id="172113415">
              <w:marLeft w:val="0"/>
              <w:marRight w:val="0"/>
              <w:marTop w:val="0"/>
              <w:marBottom w:val="0"/>
              <w:divBdr>
                <w:top w:val="none" w:sz="0" w:space="0" w:color="auto"/>
                <w:left w:val="none" w:sz="0" w:space="0" w:color="auto"/>
                <w:bottom w:val="none" w:sz="0" w:space="0" w:color="auto"/>
                <w:right w:val="none" w:sz="0" w:space="0" w:color="auto"/>
              </w:divBdr>
              <w:divsChild>
                <w:div w:id="1422333547">
                  <w:marLeft w:val="0"/>
                  <w:marRight w:val="0"/>
                  <w:marTop w:val="0"/>
                  <w:marBottom w:val="0"/>
                  <w:divBdr>
                    <w:top w:val="none" w:sz="0" w:space="0" w:color="auto"/>
                    <w:left w:val="none" w:sz="0" w:space="0" w:color="auto"/>
                    <w:bottom w:val="none" w:sz="0" w:space="0" w:color="auto"/>
                    <w:right w:val="none" w:sz="0" w:space="0" w:color="auto"/>
                  </w:divBdr>
                  <w:divsChild>
                    <w:div w:id="11527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647504">
      <w:bodyDiv w:val="1"/>
      <w:marLeft w:val="0"/>
      <w:marRight w:val="0"/>
      <w:marTop w:val="0"/>
      <w:marBottom w:val="0"/>
      <w:divBdr>
        <w:top w:val="none" w:sz="0" w:space="0" w:color="auto"/>
        <w:left w:val="none" w:sz="0" w:space="0" w:color="auto"/>
        <w:bottom w:val="none" w:sz="0" w:space="0" w:color="auto"/>
        <w:right w:val="none" w:sz="0" w:space="0" w:color="auto"/>
      </w:divBdr>
      <w:divsChild>
        <w:div w:id="841163624">
          <w:marLeft w:val="547"/>
          <w:marRight w:val="0"/>
          <w:marTop w:val="211"/>
          <w:marBottom w:val="0"/>
          <w:divBdr>
            <w:top w:val="none" w:sz="0" w:space="0" w:color="auto"/>
            <w:left w:val="none" w:sz="0" w:space="0" w:color="auto"/>
            <w:bottom w:val="none" w:sz="0" w:space="0" w:color="auto"/>
            <w:right w:val="none" w:sz="0" w:space="0" w:color="auto"/>
          </w:divBdr>
        </w:div>
        <w:div w:id="1110853927">
          <w:marLeft w:val="547"/>
          <w:marRight w:val="0"/>
          <w:marTop w:val="211"/>
          <w:marBottom w:val="0"/>
          <w:divBdr>
            <w:top w:val="none" w:sz="0" w:space="0" w:color="auto"/>
            <w:left w:val="none" w:sz="0" w:space="0" w:color="auto"/>
            <w:bottom w:val="none" w:sz="0" w:space="0" w:color="auto"/>
            <w:right w:val="none" w:sz="0" w:space="0" w:color="auto"/>
          </w:divBdr>
        </w:div>
      </w:divsChild>
    </w:div>
    <w:div w:id="1783261363">
      <w:bodyDiv w:val="1"/>
      <w:marLeft w:val="0"/>
      <w:marRight w:val="0"/>
      <w:marTop w:val="0"/>
      <w:marBottom w:val="0"/>
      <w:divBdr>
        <w:top w:val="none" w:sz="0" w:space="0" w:color="auto"/>
        <w:left w:val="none" w:sz="0" w:space="0" w:color="auto"/>
        <w:bottom w:val="none" w:sz="0" w:space="0" w:color="auto"/>
        <w:right w:val="none" w:sz="0" w:space="0" w:color="auto"/>
      </w:divBdr>
    </w:div>
    <w:div w:id="1869417242">
      <w:bodyDiv w:val="1"/>
      <w:marLeft w:val="0"/>
      <w:marRight w:val="0"/>
      <w:marTop w:val="0"/>
      <w:marBottom w:val="0"/>
      <w:divBdr>
        <w:top w:val="none" w:sz="0" w:space="0" w:color="auto"/>
        <w:left w:val="none" w:sz="0" w:space="0" w:color="auto"/>
        <w:bottom w:val="none" w:sz="0" w:space="0" w:color="auto"/>
        <w:right w:val="none" w:sz="0" w:space="0" w:color="auto"/>
      </w:divBdr>
    </w:div>
    <w:div w:id="1998458899">
      <w:bodyDiv w:val="1"/>
      <w:marLeft w:val="0"/>
      <w:marRight w:val="0"/>
      <w:marTop w:val="0"/>
      <w:marBottom w:val="0"/>
      <w:divBdr>
        <w:top w:val="none" w:sz="0" w:space="0" w:color="auto"/>
        <w:left w:val="none" w:sz="0" w:space="0" w:color="auto"/>
        <w:bottom w:val="none" w:sz="0" w:space="0" w:color="auto"/>
        <w:right w:val="none" w:sz="0" w:space="0" w:color="auto"/>
      </w:divBdr>
      <w:divsChild>
        <w:div w:id="889340518">
          <w:marLeft w:val="720"/>
          <w:marRight w:val="0"/>
          <w:marTop w:val="154"/>
          <w:marBottom w:val="0"/>
          <w:divBdr>
            <w:top w:val="none" w:sz="0" w:space="0" w:color="auto"/>
            <w:left w:val="none" w:sz="0" w:space="0" w:color="auto"/>
            <w:bottom w:val="none" w:sz="0" w:space="0" w:color="auto"/>
            <w:right w:val="none" w:sz="0" w:space="0" w:color="auto"/>
          </w:divBdr>
        </w:div>
        <w:div w:id="1231505282">
          <w:marLeft w:val="720"/>
          <w:marRight w:val="0"/>
          <w:marTop w:val="154"/>
          <w:marBottom w:val="0"/>
          <w:divBdr>
            <w:top w:val="none" w:sz="0" w:space="0" w:color="auto"/>
            <w:left w:val="none" w:sz="0" w:space="0" w:color="auto"/>
            <w:bottom w:val="none" w:sz="0" w:space="0" w:color="auto"/>
            <w:right w:val="none" w:sz="0" w:space="0" w:color="auto"/>
          </w:divBdr>
        </w:div>
        <w:div w:id="572817012">
          <w:marLeft w:val="720"/>
          <w:marRight w:val="0"/>
          <w:marTop w:val="154"/>
          <w:marBottom w:val="0"/>
          <w:divBdr>
            <w:top w:val="none" w:sz="0" w:space="0" w:color="auto"/>
            <w:left w:val="none" w:sz="0" w:space="0" w:color="auto"/>
            <w:bottom w:val="none" w:sz="0" w:space="0" w:color="auto"/>
            <w:right w:val="none" w:sz="0" w:space="0" w:color="auto"/>
          </w:divBdr>
        </w:div>
        <w:div w:id="562957242">
          <w:marLeft w:val="720"/>
          <w:marRight w:val="0"/>
          <w:marTop w:val="154"/>
          <w:marBottom w:val="0"/>
          <w:divBdr>
            <w:top w:val="none" w:sz="0" w:space="0" w:color="auto"/>
            <w:left w:val="none" w:sz="0" w:space="0" w:color="auto"/>
            <w:bottom w:val="none" w:sz="0" w:space="0" w:color="auto"/>
            <w:right w:val="none" w:sz="0" w:space="0" w:color="auto"/>
          </w:divBdr>
        </w:div>
      </w:divsChild>
    </w:div>
    <w:div w:id="2108842169">
      <w:bodyDiv w:val="1"/>
      <w:marLeft w:val="0"/>
      <w:marRight w:val="0"/>
      <w:marTop w:val="0"/>
      <w:marBottom w:val="0"/>
      <w:divBdr>
        <w:top w:val="none" w:sz="0" w:space="0" w:color="auto"/>
        <w:left w:val="none" w:sz="0" w:space="0" w:color="auto"/>
        <w:bottom w:val="none" w:sz="0" w:space="0" w:color="auto"/>
        <w:right w:val="none" w:sz="0" w:space="0" w:color="auto"/>
      </w:divBdr>
      <w:divsChild>
        <w:div w:id="624429710">
          <w:marLeft w:val="720"/>
          <w:marRight w:val="0"/>
          <w:marTop w:val="211"/>
          <w:marBottom w:val="0"/>
          <w:divBdr>
            <w:top w:val="none" w:sz="0" w:space="0" w:color="auto"/>
            <w:left w:val="none" w:sz="0" w:space="0" w:color="auto"/>
            <w:bottom w:val="none" w:sz="0" w:space="0" w:color="auto"/>
            <w:right w:val="none" w:sz="0" w:space="0" w:color="auto"/>
          </w:divBdr>
        </w:div>
        <w:div w:id="1504585937">
          <w:marLeft w:val="720"/>
          <w:marRight w:val="0"/>
          <w:marTop w:val="211"/>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library.un.org/record/3848691?ln=en"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fworld.org/docid/57c977e34.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oolleadershistr.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9ae7998-ccd0-4263-bc53-7550cb5938ea">
      <Terms xmlns="http://schemas.microsoft.com/office/infopath/2007/PartnerControls"/>
    </lcf76f155ced4ddcb4097134ff3c332f>
    <_ip_UnifiedCompliancePolicyProperties xmlns="http://schemas.microsoft.com/sharepoint/v3" xsi:nil="true"/>
    <TaxCatchAll xmlns="0eb656aa-4e79-4e95-9076-bc119a23e0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18" ma:contentTypeDescription="Create a new document." ma:contentTypeScope="" ma:versionID="24c3e8681b8f5ea99c672a4845035385">
  <xsd:schema xmlns:xsd="http://www.w3.org/2001/XMLSchema" xmlns:xs="http://www.w3.org/2001/XMLSchema" xmlns:p="http://schemas.microsoft.com/office/2006/metadata/properties" xmlns:ns1="http://schemas.microsoft.com/sharepoint/v3" xmlns:ns2="29ae7998-ccd0-4263-bc53-7550cb5938ea" xmlns:ns3="a2583af2-6f8c-48fa-9b25-65670c84e276" xmlns:ns4="0eb656aa-4e79-4e95-9076-bc119a23e0cc" targetNamespace="http://schemas.microsoft.com/office/2006/metadata/properties" ma:root="true" ma:fieldsID="da15f66ce1b4050de1e40457c15dcda6" ns1:_="" ns2:_="" ns3:_="" ns4:_="">
    <xsd:import namespace="http://schemas.microsoft.com/sharepoint/v3"/>
    <xsd:import namespace="29ae7998-ccd0-4263-bc53-7550cb5938ea"/>
    <xsd:import namespace="a2583af2-6f8c-48fa-9b25-65670c84e27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b4d203-2ca9-4f3c-8b20-88208da53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83af2-6f8c-48fa-9b25-65670c84e2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f451807-32b3-4b0c-be3e-9f986dc3d001}" ma:internalName="TaxCatchAll" ma:showField="CatchAllData" ma:web="a2583af2-6f8c-48fa-9b25-65670c84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E1137-B365-4DC5-AFE3-FAC8AAD32980}">
  <ds:schemaRefs>
    <ds:schemaRef ds:uri="http://schemas.openxmlformats.org/officeDocument/2006/bibliography"/>
  </ds:schemaRefs>
</ds:datastoreItem>
</file>

<file path=customXml/itemProps2.xml><?xml version="1.0" encoding="utf-8"?>
<ds:datastoreItem xmlns:ds="http://schemas.openxmlformats.org/officeDocument/2006/customXml" ds:itemID="{BFC8CA18-1B2B-4AFA-A4FC-925E01EC0A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7E984E-6584-456B-A992-278CD5A066C1}"/>
</file>

<file path=customXml/itemProps4.xml><?xml version="1.0" encoding="utf-8"?>
<ds:datastoreItem xmlns:ds="http://schemas.openxmlformats.org/officeDocument/2006/customXml" ds:itemID="{77F30688-A668-485D-9040-7C1C52371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11011</Words>
  <Characters>62105</Characters>
  <Application>Microsoft Office Word</Application>
  <DocSecurity>4</DocSecurity>
  <Lines>1018</Lines>
  <Paragraphs>304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European Agency for Special Needs and Inclusive Education</Company>
  <LinksUpToDate>false</LinksUpToDate>
  <CharactersWithSpaces>72812</CharactersWithSpaces>
  <SharedDoc>false</SharedDoc>
  <HyperlinkBase/>
  <HLinks>
    <vt:vector size="12" baseType="variant">
      <vt:variant>
        <vt:i4>3276915</vt:i4>
      </vt:variant>
      <vt:variant>
        <vt:i4>2927</vt:i4>
      </vt:variant>
      <vt:variant>
        <vt:i4>1026</vt:i4>
      </vt:variant>
      <vt:variant>
        <vt:i4>1</vt:i4>
      </vt:variant>
      <vt:variant>
        <vt:lpwstr>Logo A4 header</vt:lpwstr>
      </vt:variant>
      <vt:variant>
        <vt:lpwstr/>
      </vt:variant>
      <vt:variant>
        <vt:i4>3276915</vt:i4>
      </vt:variant>
      <vt:variant>
        <vt:i4>2930</vt:i4>
      </vt:variant>
      <vt:variant>
        <vt:i4>1025</vt:i4>
      </vt:variant>
      <vt:variant>
        <vt:i4>1</vt:i4>
      </vt:variant>
      <vt:variant>
        <vt:lpwstr>Logo A4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Ruta Svarinskaite</cp:lastModifiedBy>
  <cp:revision>2</cp:revision>
  <cp:lastPrinted>2021-02-26T15:20:00Z</cp:lastPrinted>
  <dcterms:created xsi:type="dcterms:W3CDTF">2021-06-14T11:08:00Z</dcterms:created>
  <dcterms:modified xsi:type="dcterms:W3CDTF">2021-06-14T11:08:00Z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0x01010076F1BDC85DEEC74C870A0853CD5588E8</vt:lpwstr>
  </property>
  <property fmtid="{D5CDD505-2E9C-101B-9397-08002B2CF9AE}" pid="3" name="Order">
    <vt:i4>100</vt:i4>
  </property>
  <property fmtid="{D5CDD505-2E9C-101B-9397-08002B2CF9AE}" pid="4" name="MediaServiceImageTags">
    <vt:lpwstr/>
  </property>
</Properties>
</file>