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02F8" w14:textId="77777777" w:rsidR="00571295" w:rsidRDefault="00571295">
      <w:pPr>
        <w:pStyle w:val="Agency-body-text"/>
        <w:jc w:val="center"/>
        <w:rPr>
          <w:b/>
          <w:sz w:val="48"/>
        </w:rPr>
      </w:pPr>
      <w:bookmarkStart w:id="0" w:name="_Toc105590460"/>
      <w:bookmarkStart w:id="1" w:name="_Toc242352480"/>
      <w:bookmarkStart w:id="2" w:name="_Toc96671627"/>
      <w:bookmarkStart w:id="3" w:name="_Toc96675672"/>
    </w:p>
    <w:p w14:paraId="367C54DD" w14:textId="77777777" w:rsidR="00571295" w:rsidRDefault="00571295">
      <w:pPr>
        <w:pStyle w:val="Agency-body-text"/>
        <w:jc w:val="center"/>
        <w:rPr>
          <w:b/>
          <w:sz w:val="48"/>
        </w:rPr>
      </w:pPr>
    </w:p>
    <w:p w14:paraId="0C4D7CC1" w14:textId="13B7C165" w:rsidR="00571295" w:rsidRDefault="00571295">
      <w:pPr>
        <w:pStyle w:val="Agency-body-text"/>
        <w:jc w:val="center"/>
        <w:rPr>
          <w:b/>
          <w:sz w:val="48"/>
        </w:rPr>
      </w:pPr>
    </w:p>
    <w:p w14:paraId="0B830BE6" w14:textId="77777777" w:rsidR="00571295" w:rsidRDefault="00571295">
      <w:pPr>
        <w:pStyle w:val="Agency-body-text"/>
        <w:jc w:val="center"/>
        <w:rPr>
          <w:b/>
          <w:sz w:val="48"/>
        </w:rPr>
      </w:pPr>
    </w:p>
    <w:p w14:paraId="5EA6A2F8" w14:textId="5AD08364" w:rsidR="00571295" w:rsidRPr="00865665" w:rsidRDefault="00A03F2A">
      <w:pPr>
        <w:pStyle w:val="P68B1DB1-Agency-body-text1"/>
        <w:jc w:val="center"/>
        <w:rPr>
          <w:lang w:val="pl-PL"/>
        </w:rPr>
      </w:pPr>
      <w:r w:rsidRPr="00865665">
        <w:rPr>
          <w:lang w:val="pl-PL"/>
        </w:rPr>
        <w:t>WSPIERANIE POPRAWY JAKOŚCI EDUKACJI INTEGRACYJNEJ W POLSCE</w:t>
      </w:r>
    </w:p>
    <w:p w14:paraId="40F7CCEA" w14:textId="1A76E7C8" w:rsidR="00571295" w:rsidRPr="00865665" w:rsidRDefault="00A03F2A">
      <w:pPr>
        <w:pStyle w:val="P68B1DB1-Agency-body-text1"/>
        <w:jc w:val="center"/>
        <w:rPr>
          <w:lang w:val="pl-PL"/>
        </w:rPr>
      </w:pPr>
      <w:r w:rsidRPr="00865665">
        <w:rPr>
          <w:lang w:val="pl-PL"/>
        </w:rPr>
        <w:t>(ETAP II)</w:t>
      </w:r>
    </w:p>
    <w:p w14:paraId="73550FEC" w14:textId="77777777" w:rsidR="00571295" w:rsidRPr="00865665" w:rsidRDefault="00571295">
      <w:pPr>
        <w:pStyle w:val="Agency-body-text"/>
        <w:spacing w:before="720"/>
        <w:jc w:val="center"/>
        <w:rPr>
          <w:b/>
          <w:sz w:val="48"/>
          <w:lang w:val="pl-PL"/>
        </w:rPr>
      </w:pPr>
    </w:p>
    <w:p w14:paraId="599E686C" w14:textId="3D46BAE4" w:rsidR="00571295" w:rsidRPr="00865665" w:rsidRDefault="00A03F2A">
      <w:pPr>
        <w:pStyle w:val="P68B1DB1-Agency-body-text2"/>
        <w:spacing w:before="720"/>
        <w:jc w:val="center"/>
        <w:rPr>
          <w:lang w:val="pl-PL"/>
        </w:rPr>
      </w:pPr>
      <w:r w:rsidRPr="00865665">
        <w:rPr>
          <w:lang w:val="pl-PL"/>
        </w:rPr>
        <w:t>Partnerskie uczenie się 14</w:t>
      </w:r>
      <w:r w:rsidR="002117B0">
        <w:rPr>
          <w:lang w:val="pl-PL"/>
        </w:rPr>
        <w:t xml:space="preserve"> </w:t>
      </w:r>
      <w:r w:rsidRPr="00564798">
        <w:rPr>
          <w:lang w:val="pl-PL"/>
        </w:rPr>
        <w:t>lipca</w:t>
      </w:r>
      <w:r w:rsidRPr="00865665">
        <w:rPr>
          <w:lang w:val="pl-PL"/>
        </w:rPr>
        <w:t xml:space="preserve"> 2021 r.</w:t>
      </w:r>
    </w:p>
    <w:p w14:paraId="112CBC2E" w14:textId="77777777" w:rsidR="00571295" w:rsidRPr="00865665" w:rsidRDefault="00571295">
      <w:pPr>
        <w:jc w:val="center"/>
        <w:rPr>
          <w:rFonts w:asciiTheme="majorHAnsi" w:hAnsiTheme="majorHAnsi" w:cstheme="majorHAnsi"/>
          <w:b/>
          <w:color w:val="000000" w:themeColor="text1"/>
          <w:sz w:val="40"/>
          <w:lang w:val="pl-PL"/>
        </w:rPr>
      </w:pPr>
    </w:p>
    <w:p w14:paraId="5043CE5E" w14:textId="42150B52" w:rsidR="00571295" w:rsidRPr="00865665" w:rsidRDefault="00A03F2A">
      <w:pPr>
        <w:pStyle w:val="P68B1DB1-Agency-body-text3"/>
        <w:jc w:val="center"/>
        <w:rPr>
          <w:lang w:val="pl-PL"/>
        </w:rPr>
      </w:pPr>
      <w:r w:rsidRPr="00865665">
        <w:rPr>
          <w:lang w:val="pl-PL"/>
        </w:rPr>
        <w:t>RAMY MONITOROWANIA EDUKACJI WŁĄCZAJĄCEJ, SERBIA</w:t>
      </w:r>
    </w:p>
    <w:p w14:paraId="20A8175F" w14:textId="0B555090" w:rsidR="00571295" w:rsidRPr="00865665" w:rsidRDefault="00571295">
      <w:pPr>
        <w:jc w:val="center"/>
        <w:rPr>
          <w:rFonts w:asciiTheme="majorHAnsi" w:hAnsiTheme="majorHAnsi" w:cstheme="majorHAnsi"/>
          <w:b/>
          <w:color w:val="000000" w:themeColor="text1"/>
          <w:sz w:val="40"/>
          <w:lang w:val="pl-PL"/>
        </w:rPr>
      </w:pPr>
    </w:p>
    <w:p w14:paraId="630051A4" w14:textId="6B97451E" w:rsidR="00571295" w:rsidRPr="00865665" w:rsidRDefault="00A03F2A">
      <w:pPr>
        <w:pStyle w:val="P68B1DB1-Normal4"/>
        <w:jc w:val="center"/>
        <w:rPr>
          <w:lang w:val="pl-PL"/>
        </w:rPr>
      </w:pPr>
      <w:r w:rsidRPr="00865665">
        <w:rPr>
          <w:lang w:val="pl-PL"/>
        </w:rPr>
        <w:t>Przygotowane przez:</w:t>
      </w:r>
    </w:p>
    <w:p w14:paraId="472E9371" w14:textId="77777777" w:rsidR="00571295" w:rsidRPr="00865665" w:rsidRDefault="00A03F2A">
      <w:pPr>
        <w:pStyle w:val="P68B1DB1-Normal4"/>
        <w:jc w:val="center"/>
        <w:rPr>
          <w:lang w:val="pl-PL"/>
        </w:rPr>
      </w:pPr>
      <w:r w:rsidRPr="00865665">
        <w:rPr>
          <w:lang w:val="pl-PL"/>
        </w:rPr>
        <w:t>Anamarija Viček</w:t>
      </w:r>
    </w:p>
    <w:p w14:paraId="25438E28" w14:textId="30FD097A" w:rsidR="00571295" w:rsidRPr="00865665" w:rsidRDefault="00A03F2A">
      <w:pPr>
        <w:pStyle w:val="P68B1DB1-Normal4"/>
        <w:jc w:val="center"/>
        <w:rPr>
          <w:lang w:val="pl-PL"/>
        </w:rPr>
      </w:pPr>
      <w:r w:rsidRPr="00865665">
        <w:rPr>
          <w:lang w:val="pl-PL"/>
        </w:rPr>
        <w:t>Dragana Malidžan Vinkić</w:t>
      </w:r>
    </w:p>
    <w:p w14:paraId="01578D28" w14:textId="77777777" w:rsidR="00571295" w:rsidRPr="00865665" w:rsidRDefault="00571295">
      <w:pPr>
        <w:pStyle w:val="Agency-body-text"/>
        <w:rPr>
          <w:lang w:val="pl-PL"/>
        </w:rPr>
      </w:pPr>
    </w:p>
    <w:p w14:paraId="429BCC10" w14:textId="71DCB858" w:rsidR="00571295" w:rsidRPr="00865665" w:rsidRDefault="00A03F2A">
      <w:pPr>
        <w:pStyle w:val="P68B1DB1-Agency-body-text5"/>
        <w:rPr>
          <w:lang w:val="pl-PL"/>
        </w:rPr>
      </w:pPr>
      <w:r w:rsidRPr="00865665">
        <w:rPr>
          <w:lang w:val="pl-PL"/>
        </w:rPr>
        <w:t>Niniejszy dokument został opracowany przy wsparciu finansowym Unii Europejskiej.</w:t>
      </w:r>
      <w:r w:rsidR="002117B0">
        <w:rPr>
          <w:lang w:val="pl-PL"/>
        </w:rPr>
        <w:t xml:space="preserve"> </w:t>
      </w:r>
      <w:r w:rsidRPr="00865665">
        <w:rPr>
          <w:lang w:val="pl-PL"/>
        </w:rPr>
        <w:t>Poglądy wyrażone w niniejszym dokumencie nie mogą w żaden sposób odzwierciedlać oficjalnej opinii Unii Europejskiej.</w:t>
      </w:r>
    </w:p>
    <w:p w14:paraId="6DF04FA9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br w:type="page"/>
      </w:r>
    </w:p>
    <w:bookmarkEnd w:id="0"/>
    <w:bookmarkEnd w:id="1"/>
    <w:bookmarkEnd w:id="2"/>
    <w:bookmarkEnd w:id="3"/>
    <w:p w14:paraId="56F4454C" w14:textId="03603990" w:rsidR="00571295" w:rsidRDefault="00865665">
      <w:pPr>
        <w:pStyle w:val="P68B1DB1-Agency-body-text6"/>
      </w:pPr>
      <w:r>
        <w:lastRenderedPageBreak/>
        <w:t>SPIS TREŚCI</w:t>
      </w:r>
    </w:p>
    <w:p w14:paraId="5F6FD2EB" w14:textId="0D472004" w:rsidR="00571295" w:rsidRDefault="00571295">
      <w:pPr>
        <w:pStyle w:val="Agency-body-text"/>
        <w:rPr>
          <w:rStyle w:val="Hyperlink"/>
          <w:rFonts w:cs="Calibri"/>
        </w:rPr>
      </w:pPr>
    </w:p>
    <w:p w14:paraId="192833EB" w14:textId="4304447F" w:rsidR="00865665" w:rsidRDefault="00A03F2A">
      <w:pPr>
        <w:pStyle w:val="TOC3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r>
        <w:rPr>
          <w:rStyle w:val="Hyperlink"/>
          <w:rFonts w:ascii="Calibri" w:hAnsi="Calibri" w:cs="Calibri"/>
          <w:sz w:val="24"/>
        </w:rPr>
        <w:fldChar w:fldCharType="begin"/>
      </w:r>
      <w:r>
        <w:rPr>
          <w:rStyle w:val="Hyperlink"/>
          <w:rFonts w:ascii="Calibri" w:hAnsi="Calibri" w:cs="Calibri"/>
          <w:sz w:val="24"/>
        </w:rPr>
        <w:instrText xml:space="preserve"> TOC \o "1-5" \h \z \u </w:instrText>
      </w:r>
      <w:r>
        <w:rPr>
          <w:rStyle w:val="Hyperlink"/>
          <w:rFonts w:ascii="Calibri" w:hAnsi="Calibri" w:cs="Calibri"/>
          <w:sz w:val="24"/>
        </w:rPr>
        <w:fldChar w:fldCharType="separate"/>
      </w:r>
      <w:hyperlink w:anchor="_Toc76728140" w:history="1">
        <w:r w:rsidR="00865665" w:rsidRPr="00305C58">
          <w:rPr>
            <w:rStyle w:val="Hyperlink"/>
            <w:noProof/>
            <w:lang w:val="pl-PL"/>
          </w:rPr>
          <w:t>Wprowadzenie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_Toc76728140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365C8315" w14:textId="0C0C7429" w:rsidR="00865665" w:rsidRDefault="005B47E2">
      <w:pPr>
        <w:pStyle w:val="TOC4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1" w:history="1">
        <w:r w:rsidR="00865665" w:rsidRPr="00305C58">
          <w:rPr>
            <w:rStyle w:val="Hyperlink"/>
            <w:noProof/>
            <w:lang w:val="pl-PL"/>
          </w:rPr>
          <w:t>Opracowanie procesu monitorowania i rozliczalności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_Toc76728141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161D85C3" w14:textId="719C6C9A" w:rsidR="00865665" w:rsidRDefault="005B47E2">
      <w:pPr>
        <w:pStyle w:val="TOC4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2" w:history="1">
        <w:r w:rsidR="00865665" w:rsidRPr="00305C58">
          <w:rPr>
            <w:rStyle w:val="Hyperlink"/>
            <w:noProof/>
            <w:lang w:val="pl-PL"/>
          </w:rPr>
          <w:t>Prezentacja prac w Serbii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_Toc76728142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05A1481C" w14:textId="140646E6" w:rsidR="00865665" w:rsidRDefault="005B47E2">
      <w:pPr>
        <w:pStyle w:val="TOC3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3" w:history="1">
        <w:r w:rsidR="00865665" w:rsidRPr="00305C58">
          <w:rPr>
            <w:rStyle w:val="Hyperlink"/>
            <w:noProof/>
            <w:lang w:val="pl-PL"/>
          </w:rPr>
          <w:t>Informacje ogólne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_Toc76728143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17580B7A" w14:textId="123BA1EA" w:rsidR="00865665" w:rsidRDefault="005B47E2">
      <w:pPr>
        <w:pStyle w:val="TOC4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4" w:history="1">
        <w:r w:rsidR="00865665" w:rsidRPr="00305C58">
          <w:rPr>
            <w:rStyle w:val="Hyperlink"/>
            <w:noProof/>
            <w:lang w:val="pl-PL"/>
          </w:rPr>
          <w:t>Wizja, cele i cele polityki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_Toc76728144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27BD0EBB" w14:textId="0A25CDDE" w:rsidR="00865665" w:rsidRDefault="005B47E2">
      <w:pPr>
        <w:pStyle w:val="TOC3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5" w:history="1">
        <w:r w:rsidR="00865665" w:rsidRPr="00305C58">
          <w:rPr>
            <w:rStyle w:val="Hyperlink"/>
            <w:noProof/>
            <w:lang w:val="pl-PL"/>
          </w:rPr>
          <w:t>Ramy monitorowania edukacji włączającej w Serbii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_Toc76728145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1AEAD362" w14:textId="1FA7554B" w:rsidR="00865665" w:rsidRDefault="005B47E2">
      <w:pPr>
        <w:pStyle w:val="TOC3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6" w:history="1">
        <w:r w:rsidR="00865665" w:rsidRPr="00305C58">
          <w:rPr>
            <w:rStyle w:val="Hyperlink"/>
            <w:noProof/>
            <w:lang w:val="pl-PL"/>
          </w:rPr>
          <w:t>Przegląd wdrażania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_Toc76728146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3DBC19F6" w14:textId="504CCFFD" w:rsidR="00865665" w:rsidRDefault="005B47E2">
      <w:pPr>
        <w:pStyle w:val="TOC4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7" w:history="1">
        <w:r w:rsidR="00865665" w:rsidRPr="00305C58">
          <w:rPr>
            <w:rStyle w:val="Hyperlink"/>
            <w:noProof/>
            <w:lang w:val="pl-PL"/>
          </w:rPr>
          <w:t>Wyzwania i rozwój sytuacji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_Toc76728147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743CD784" w14:textId="56E72972" w:rsidR="00865665" w:rsidRDefault="005B47E2">
      <w:pPr>
        <w:pStyle w:val="TOC3"/>
        <w:tabs>
          <w:tab w:val="right" w:leader="dot" w:pos="8827"/>
        </w:tabs>
        <w:rPr>
          <w:rFonts w:eastAsiaTheme="minorEastAsia" w:cstheme="minorBidi"/>
          <w:noProof/>
          <w:sz w:val="22"/>
          <w:szCs w:val="22"/>
        </w:rPr>
      </w:pPr>
      <w:hyperlink w:anchor="_Toc76728148" w:history="1">
        <w:r w:rsidR="00564798">
          <w:rPr>
            <w:rStyle w:val="Hyperlink"/>
            <w:noProof/>
            <w:lang w:val="pl-PL"/>
          </w:rPr>
          <w:t>Źródła</w:t>
        </w:r>
        <w:r w:rsidR="00865665">
          <w:rPr>
            <w:noProof/>
            <w:webHidden/>
          </w:rPr>
          <w:tab/>
        </w:r>
        <w:r w:rsidR="00865665">
          <w:rPr>
            <w:noProof/>
            <w:webHidden/>
          </w:rPr>
          <w:fldChar w:fldCharType="begin"/>
        </w:r>
        <w:r w:rsidR="00865665">
          <w:rPr>
            <w:noProof/>
            <w:webHidden/>
          </w:rPr>
          <w:instrText xml:space="preserve"> PAGEREF _Toc76728148 \h </w:instrText>
        </w:r>
        <w:r w:rsidR="00865665">
          <w:rPr>
            <w:noProof/>
            <w:webHidden/>
          </w:rPr>
        </w:r>
        <w:r w:rsidR="00865665">
          <w:rPr>
            <w:noProof/>
            <w:webHidden/>
          </w:rPr>
          <w:fldChar w:fldCharType="separate"/>
        </w:r>
        <w:r w:rsidR="00484C87">
          <w:rPr>
            <w:noProof/>
            <w:webHidden/>
          </w:rPr>
          <w:t>2</w:t>
        </w:r>
        <w:r w:rsidR="00865665">
          <w:rPr>
            <w:noProof/>
            <w:webHidden/>
          </w:rPr>
          <w:fldChar w:fldCharType="end"/>
        </w:r>
      </w:hyperlink>
    </w:p>
    <w:p w14:paraId="6765BB2F" w14:textId="132BD763" w:rsidR="00571295" w:rsidRDefault="00A03F2A">
      <w:pPr>
        <w:pStyle w:val="Agency-body-text"/>
        <w:rPr>
          <w:rStyle w:val="Hyperlink"/>
        </w:rPr>
      </w:pPr>
      <w:r>
        <w:rPr>
          <w:rStyle w:val="Hyperlink"/>
          <w:rFonts w:cs="Calibri"/>
        </w:rPr>
        <w:fldChar w:fldCharType="end"/>
      </w:r>
    </w:p>
    <w:p w14:paraId="35727B32" w14:textId="03ED055C" w:rsidR="00571295" w:rsidRDefault="00A03F2A">
      <w:pPr>
        <w:rPr>
          <w:rStyle w:val="Hyperlink"/>
          <w:rFonts w:ascii="Calibri" w:hAnsi="Calibri"/>
        </w:rPr>
      </w:pPr>
      <w:r>
        <w:rPr>
          <w:rStyle w:val="Hyperlink"/>
        </w:rPr>
        <w:br w:type="page"/>
      </w:r>
    </w:p>
    <w:p w14:paraId="1C7B677A" w14:textId="77777777" w:rsidR="00571295" w:rsidRPr="00865665" w:rsidRDefault="00A03F2A">
      <w:pPr>
        <w:pStyle w:val="Agency-heading-2"/>
        <w:rPr>
          <w:lang w:val="pl-PL"/>
        </w:rPr>
      </w:pPr>
      <w:bookmarkStart w:id="4" w:name="_Toc76728140"/>
      <w:bookmarkStart w:id="5" w:name="_Toc75245421"/>
      <w:r w:rsidRPr="00865665">
        <w:rPr>
          <w:lang w:val="pl-PL"/>
        </w:rPr>
        <w:lastRenderedPageBreak/>
        <w:t>Wprowadzenie</w:t>
      </w:r>
      <w:bookmarkEnd w:id="4"/>
    </w:p>
    <w:p w14:paraId="52ED237B" w14:textId="77777777" w:rsidR="001F771B" w:rsidRDefault="001F771B">
      <w:pPr>
        <w:pStyle w:val="Agency-body-text"/>
        <w:rPr>
          <w:lang w:val="pl-PL"/>
        </w:rPr>
      </w:pPr>
      <w:r w:rsidRPr="001F771B">
        <w:rPr>
          <w:lang w:val="pl-PL"/>
        </w:rPr>
        <w:t>Działania II etapu w ramach Programu Wspierania Reform Strukturalnych w Polsce mają na celu opracowanie nowych przepisów, których zadaniem będzie poprawa jakości kształcenia dla wszystkich osób uczących się. W polskim procesie prawnym wymaga się, aby przed przygotowaniem nowych przepisów założenia leżące u podstaw były jasno określone i omówione z zainteresowanymi stronami. Założenia takie tworzą ramy koncepcyjne dla nowego prawodawstwa, określając definicje operacyjne i kluczowe pojęcia, które będą stanowić podstawę nowej ustawy. Przyczynią się one do opracowania jasnego uzasadnienia prac oraz wizji i celów stanowiących podstawę nowego prawodawstwa.</w:t>
      </w:r>
    </w:p>
    <w:p w14:paraId="3CC0400F" w14:textId="5797E4C7" w:rsidR="00571295" w:rsidRPr="00865665" w:rsidRDefault="00A03F2A">
      <w:pPr>
        <w:pStyle w:val="Agency-heading-3"/>
        <w:rPr>
          <w:lang w:val="pl-PL"/>
        </w:rPr>
      </w:pPr>
      <w:bookmarkStart w:id="6" w:name="_Toc76728141"/>
      <w:r w:rsidRPr="00865665">
        <w:rPr>
          <w:lang w:val="pl-PL"/>
        </w:rPr>
        <w:t>Opracowanie procesu monitorowania i rozliczalności</w:t>
      </w:r>
      <w:bookmarkEnd w:id="6"/>
    </w:p>
    <w:p w14:paraId="36665205" w14:textId="216C8972" w:rsidR="00571295" w:rsidRPr="00865665" w:rsidRDefault="001F771B">
      <w:pPr>
        <w:pStyle w:val="Agency-body-text"/>
        <w:rPr>
          <w:lang w:val="pl-PL"/>
        </w:rPr>
      </w:pPr>
      <w:bookmarkStart w:id="7" w:name="_Toc68790896"/>
      <w:r>
        <w:rPr>
          <w:lang w:val="pl-PL"/>
        </w:rPr>
        <w:t>MEiN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pragnie opracować system norm i wskaźników jakości, aby pomóc wszystkim zainteresowanym stronom zapewn</w:t>
      </w:r>
      <w:r>
        <w:rPr>
          <w:lang w:val="pl-PL"/>
        </w:rPr>
        <w:t xml:space="preserve">ić </w:t>
      </w:r>
      <w:r w:rsidR="00A03F2A" w:rsidRPr="00865665">
        <w:rPr>
          <w:lang w:val="pl-PL"/>
        </w:rPr>
        <w:t>jakoś</w:t>
      </w:r>
      <w:r>
        <w:rPr>
          <w:lang w:val="pl-PL"/>
        </w:rPr>
        <w:t xml:space="preserve">ć </w:t>
      </w:r>
      <w:r w:rsidR="00A03F2A" w:rsidRPr="00865665">
        <w:rPr>
          <w:lang w:val="pl-PL"/>
        </w:rPr>
        <w:t xml:space="preserve"> we wszystkich politykach i praktykach oraz rozliczać się z indywidualnych i zbiorowych wysiłków na rzecz rozwoju systemu edukacji sprzyjającej włączeniu społecznemu.</w:t>
      </w:r>
      <w:r w:rsidR="00BE7011">
        <w:rPr>
          <w:lang w:val="pl-PL"/>
        </w:rPr>
        <w:t xml:space="preserve"> </w:t>
      </w:r>
      <w:r w:rsidR="00A03F2A" w:rsidRPr="00865665">
        <w:rPr>
          <w:lang w:val="pl-PL"/>
        </w:rPr>
        <w:t>W miarę możliwości należy wprowadzić wspólne normy, aby zachęcać do współpracy i spójności między ministerstwami, sektorami, agencjami i szkołami itp. Na wszystkich szczeblach system zapewniania jakości powinien wspierać refleksję i koncentrować się na ciągłym doskonaleniu.</w:t>
      </w:r>
    </w:p>
    <w:p w14:paraId="0E656A1A" w14:textId="493EBB0F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W związku z tym </w:t>
      </w:r>
      <w:r w:rsidR="00BE7011" w:rsidRPr="00BE7011">
        <w:rPr>
          <w:lang w:val="pl-PL"/>
        </w:rPr>
        <w:t xml:space="preserve">MEiN </w:t>
      </w:r>
      <w:r w:rsidRPr="00865665">
        <w:rPr>
          <w:lang w:val="pl-PL"/>
        </w:rPr>
        <w:t>chce zbadać przykłady prac innych krajów związanych z założeniem nr 8, które będą stanowić podstawę ich nowego prawodawstwa.</w:t>
      </w:r>
    </w:p>
    <w:bookmarkEnd w:id="7"/>
    <w:p w14:paraId="2C026661" w14:textId="069B096A" w:rsidR="00571295" w:rsidRPr="00865665" w:rsidRDefault="00A03F2A">
      <w:pPr>
        <w:pStyle w:val="P68B1DB1-Agency-body-text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pl-PL"/>
        </w:rPr>
      </w:pPr>
      <w:r w:rsidRPr="00865665">
        <w:rPr>
          <w:lang w:val="pl-PL"/>
        </w:rPr>
        <w:t>Normy i wskaźniki uzgodnione z zainteresowanymi stronami będą stanowić podstawę ogólnosystemowego procesu monitorowania i rozliczalności, który zapewni wysokiej jakości edukację sprzyjającą włączeniu społecznemu dla wszystkich osób uczących się.</w:t>
      </w:r>
      <w:r w:rsidR="00E06AF1">
        <w:rPr>
          <w:lang w:val="pl-PL"/>
        </w:rPr>
        <w:t xml:space="preserve"> </w:t>
      </w:r>
      <w:r w:rsidRPr="00865665">
        <w:rPr>
          <w:lang w:val="pl-PL"/>
        </w:rPr>
        <w:t>Standardy będą spójne we wszystkich ministerstwach i sektorach, a wszystkie zainteresowane strony przejmą odpowiedzialność za wszystkie osoby uczące się i będą ponosić odpowiedzialność za swoje działania.</w:t>
      </w:r>
    </w:p>
    <w:p w14:paraId="731E5F51" w14:textId="7F42E51B" w:rsidR="00571295" w:rsidRPr="00865665" w:rsidRDefault="00A03F2A">
      <w:pPr>
        <w:pStyle w:val="P68B1DB1-Agency-body-text7"/>
        <w:rPr>
          <w:lang w:val="pl-PL"/>
        </w:rPr>
      </w:pPr>
      <w:r w:rsidRPr="00865665">
        <w:rPr>
          <w:lang w:val="pl-PL"/>
        </w:rPr>
        <w:t xml:space="preserve">Ramy zapewniania jakości mogą </w:t>
      </w:r>
      <w:r w:rsidR="00E06AF1">
        <w:rPr>
          <w:lang w:val="pl-PL"/>
        </w:rPr>
        <w:t>pomóc uwydatnić</w:t>
      </w:r>
      <w:r w:rsidR="00E06AF1" w:rsidRPr="00865665">
        <w:rPr>
          <w:lang w:val="pl-PL"/>
        </w:rPr>
        <w:t xml:space="preserve"> </w:t>
      </w:r>
      <w:r w:rsidRPr="00865665">
        <w:rPr>
          <w:lang w:val="pl-PL"/>
        </w:rPr>
        <w:t xml:space="preserve">powszechnie uzgodniony </w:t>
      </w:r>
      <w:r w:rsidR="00E06AF1">
        <w:rPr>
          <w:lang w:val="pl-PL"/>
        </w:rPr>
        <w:t>punkt widzenia</w:t>
      </w:r>
      <w:r w:rsidR="00E06AF1" w:rsidRPr="00865665">
        <w:rPr>
          <w:lang w:val="pl-PL"/>
        </w:rPr>
        <w:t xml:space="preserve"> </w:t>
      </w:r>
      <w:r w:rsidR="00E06AF1">
        <w:rPr>
          <w:lang w:val="pl-PL"/>
        </w:rPr>
        <w:t xml:space="preserve">dotyczący </w:t>
      </w:r>
      <w:r w:rsidRPr="00865665">
        <w:rPr>
          <w:lang w:val="pl-PL"/>
        </w:rPr>
        <w:t xml:space="preserve">skutecznych praktyk, dostarczyć wskazówek na temat sposobu wdrażania praktyk sprzyjających włączeniu społecznemu na wszystkich szczeblach systemu oraz uwzględnić wskaźniki oceny w edukacji i </w:t>
      </w:r>
      <w:r w:rsidR="00E06AF1">
        <w:rPr>
          <w:lang w:val="pl-PL"/>
        </w:rPr>
        <w:t>szerzej pojmowanych</w:t>
      </w:r>
      <w:r w:rsidR="00E06AF1" w:rsidRPr="00865665">
        <w:rPr>
          <w:lang w:val="pl-PL"/>
        </w:rPr>
        <w:t xml:space="preserve"> </w:t>
      </w:r>
      <w:r w:rsidRPr="00865665">
        <w:rPr>
          <w:lang w:val="pl-PL"/>
        </w:rPr>
        <w:t>usługach.</w:t>
      </w:r>
      <w:r w:rsidR="00E06AF1">
        <w:rPr>
          <w:lang w:val="pl-PL"/>
        </w:rPr>
        <w:t xml:space="preserve"> </w:t>
      </w:r>
      <w:r w:rsidRPr="00865665">
        <w:rPr>
          <w:lang w:val="pl-PL"/>
        </w:rPr>
        <w:t xml:space="preserve">Podczas opracowywania takich ram dyskusja między zainteresowanymi stronami może </w:t>
      </w:r>
      <w:r w:rsidR="00E06AF1">
        <w:rPr>
          <w:lang w:val="pl-PL"/>
        </w:rPr>
        <w:t>podważyć</w:t>
      </w:r>
      <w:r w:rsidR="00E06AF1" w:rsidRPr="00865665">
        <w:rPr>
          <w:lang w:val="pl-PL"/>
        </w:rPr>
        <w:t xml:space="preserve"> </w:t>
      </w:r>
      <w:r w:rsidRPr="00865665">
        <w:rPr>
          <w:lang w:val="pl-PL"/>
        </w:rPr>
        <w:t>podstawowe założenia, przekonania i wartości, określić priorytety i ocenić postępy (Agencja Europejska, 2014a), a także wyjaśnić role, obowiązki i rozliczalność zainteresowanych stron.</w:t>
      </w:r>
    </w:p>
    <w:p w14:paraId="5CF31190" w14:textId="37A9F0FE" w:rsidR="00571295" w:rsidRPr="00865665" w:rsidRDefault="00AF1FC1">
      <w:pPr>
        <w:pStyle w:val="P68B1DB1-Agency-body-text8"/>
        <w:rPr>
          <w:lang w:val="pl-PL"/>
        </w:rPr>
      </w:pPr>
      <w:r w:rsidRPr="00AF1FC1">
        <w:rPr>
          <w:rStyle w:val="eop"/>
          <w:rFonts w:cs="Calibri"/>
          <w:lang w:val="pl-PL"/>
        </w:rPr>
        <w:t xml:space="preserve">W systemie integracyjnym </w:t>
      </w:r>
      <w:r>
        <w:rPr>
          <w:rStyle w:val="eop"/>
          <w:rFonts w:cs="Calibri"/>
          <w:lang w:val="pl-PL"/>
        </w:rPr>
        <w:t>niezbędny</w:t>
      </w:r>
      <w:r w:rsidRPr="00AF1FC1">
        <w:rPr>
          <w:rStyle w:val="eop"/>
          <w:rFonts w:cs="Calibri"/>
          <w:lang w:val="pl-PL"/>
        </w:rPr>
        <w:t xml:space="preserve"> będzie kompleksowy zestaw wskaźników, który zagwarantuje, że każda osoba ucząca się będzie postrzegana w sposób holistyczny i że oprócz osiągnięć akademickich liczyć się będą także szersze efekty procesu kształcenia.</w:t>
      </w:r>
      <w:r w:rsidR="00564798">
        <w:rPr>
          <w:rStyle w:val="eop"/>
          <w:rFonts w:cs="Calibri"/>
          <w:lang w:val="pl-PL"/>
        </w:rPr>
        <w:t xml:space="preserve"> </w:t>
      </w:r>
      <w:r w:rsidR="00A03F2A" w:rsidRPr="00865665">
        <w:rPr>
          <w:lang w:val="pl-PL"/>
        </w:rPr>
        <w:t>Oprócz pomiaru umiejętności i kompetencji niezbędnych do osiągnięcia sukcesu w szkole i w przyszłym życiu uczniów, należy również uwzględnić dokładne i wiarygodne dane dotyczące zasobów oraz innych</w:t>
      </w:r>
      <w:r w:rsidR="00564798">
        <w:rPr>
          <w:lang w:val="pl-PL"/>
        </w:rPr>
        <w:t xml:space="preserve"> </w:t>
      </w:r>
      <w:r>
        <w:rPr>
          <w:lang w:val="pl-PL"/>
        </w:rPr>
        <w:t>nakładów</w:t>
      </w:r>
      <w:r w:rsidR="00A03F2A" w:rsidRPr="00865665">
        <w:rPr>
          <w:lang w:val="pl-PL"/>
        </w:rPr>
        <w:t>, struktur i procesów, które ostatecznie wpływają na uczenie się.</w:t>
      </w:r>
      <w:r>
        <w:rPr>
          <w:lang w:val="pl-PL"/>
        </w:rPr>
        <w:t xml:space="preserve"> </w:t>
      </w:r>
      <w:r w:rsidR="00A03F2A" w:rsidRPr="00865665">
        <w:rPr>
          <w:lang w:val="pl-PL"/>
        </w:rPr>
        <w:t>Takie dane są szczególnie ważne w odniesieniu do doświadczeń grup mniejszościowych i osób potencjalnie narażonych na niedostateczne osiągnięcia.</w:t>
      </w:r>
    </w:p>
    <w:p w14:paraId="2529BFAC" w14:textId="0D8F0416" w:rsidR="00571295" w:rsidRPr="00865665" w:rsidRDefault="00AF1FC1">
      <w:pPr>
        <w:pStyle w:val="Agency-heading-3"/>
        <w:rPr>
          <w:lang w:val="pl-PL"/>
        </w:rPr>
      </w:pPr>
      <w:r w:rsidRPr="00AF1FC1">
        <w:rPr>
          <w:lang w:val="pl-PL"/>
        </w:rPr>
        <w:lastRenderedPageBreak/>
        <w:t>Wkład i zasoby dla szkół mogłyby być powiązane z efektami stanowiącymi wartość dodaną (pomiar, który jest skorygowany, aby uwzględnić wyjściowe poziomy osiągnięć uczniów), tak aby szkoły były rozliczane ze swojego wpływu na uczenie się, a nie z wpływu wcześniejszych doświadczeń życiowych, staży szkolnych itp. Analiza danych powinna uwzględniać dostęp i uczestnictwo w pełnym zakresie możliwości oraz postępy i osiągnięcia we wszystkich obszarach uczenia się.</w:t>
      </w:r>
      <w:bookmarkStart w:id="8" w:name="_Toc76728142"/>
      <w:r w:rsidR="00564798">
        <w:rPr>
          <w:lang w:val="pl-PL"/>
        </w:rPr>
        <w:t xml:space="preserve"> </w:t>
      </w:r>
      <w:r w:rsidR="00A03F2A" w:rsidRPr="00865665">
        <w:rPr>
          <w:lang w:val="pl-PL"/>
        </w:rPr>
        <w:t>Prezentacja prac w Serbii</w:t>
      </w:r>
      <w:bookmarkEnd w:id="8"/>
    </w:p>
    <w:p w14:paraId="338F9356" w14:textId="2AE6E099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Niniejszy dokument zawiera podstawowe informacje na temat partnerskiego uczenia się (PLA) w dniu</w:t>
      </w:r>
      <w:r w:rsidR="00AF1FC1">
        <w:rPr>
          <w:vertAlign w:val="superscript"/>
          <w:lang w:val="pl-PL"/>
        </w:rPr>
        <w:t xml:space="preserve"> </w:t>
      </w:r>
      <w:r w:rsidRPr="00865665">
        <w:rPr>
          <w:lang w:val="pl-PL"/>
        </w:rPr>
        <w:t xml:space="preserve"> </w:t>
      </w:r>
      <w:r w:rsidR="00AF1FC1">
        <w:rPr>
          <w:lang w:val="pl-PL"/>
        </w:rPr>
        <w:t xml:space="preserve">14 </w:t>
      </w:r>
      <w:r w:rsidRPr="00865665">
        <w:rPr>
          <w:lang w:val="pl-PL"/>
        </w:rPr>
        <w:t>lipca.</w:t>
      </w:r>
      <w:r w:rsidR="00E06AF1">
        <w:rPr>
          <w:lang w:val="pl-PL"/>
        </w:rPr>
        <w:t xml:space="preserve"> </w:t>
      </w:r>
      <w:r w:rsidRPr="00865665">
        <w:rPr>
          <w:lang w:val="pl-PL"/>
        </w:rPr>
        <w:t xml:space="preserve">Przedstawiono w nim </w:t>
      </w:r>
      <w:r w:rsidR="00AF1FC1">
        <w:rPr>
          <w:lang w:val="pl-PL"/>
        </w:rPr>
        <w:t>ostatnie</w:t>
      </w:r>
      <w:r w:rsidR="00AF1FC1" w:rsidRPr="00865665">
        <w:rPr>
          <w:lang w:val="pl-PL"/>
        </w:rPr>
        <w:t xml:space="preserve"> </w:t>
      </w:r>
      <w:r w:rsidRPr="00865665">
        <w:rPr>
          <w:lang w:val="pl-PL"/>
        </w:rPr>
        <w:t>zmiany legislacyjne w Serbii, a także ramy monitorowania edukacji włączającej jako szczególny przykład zapewniania jakości i prac monitorujących.</w:t>
      </w:r>
    </w:p>
    <w:p w14:paraId="19127991" w14:textId="358A738B" w:rsidR="00571295" w:rsidRPr="00865665" w:rsidRDefault="00A03F2A">
      <w:pPr>
        <w:pStyle w:val="Agency-heading-2"/>
        <w:rPr>
          <w:lang w:val="pl-PL"/>
        </w:rPr>
      </w:pPr>
      <w:bookmarkStart w:id="9" w:name="_Toc76728143"/>
      <w:r w:rsidRPr="00865665">
        <w:rPr>
          <w:lang w:val="pl-PL"/>
        </w:rPr>
        <w:t>Informacje ogólne</w:t>
      </w:r>
      <w:bookmarkEnd w:id="5"/>
      <w:bookmarkEnd w:id="9"/>
    </w:p>
    <w:p w14:paraId="212BB3A7" w14:textId="640AE5A6" w:rsidR="00571295" w:rsidRPr="00865665" w:rsidRDefault="00A03F2A">
      <w:pPr>
        <w:pStyle w:val="Agency-heading-3"/>
        <w:rPr>
          <w:lang w:val="pl-PL"/>
        </w:rPr>
      </w:pPr>
      <w:bookmarkStart w:id="10" w:name="_Toc76728144"/>
      <w:r w:rsidRPr="00865665">
        <w:rPr>
          <w:lang w:val="pl-PL"/>
        </w:rPr>
        <w:t>Wizja, cele i cele polityki</w:t>
      </w:r>
      <w:bookmarkEnd w:id="10"/>
    </w:p>
    <w:p w14:paraId="282AEACE" w14:textId="5B428EF0" w:rsidR="00571295" w:rsidRPr="00865665" w:rsidRDefault="00AF1FC1">
      <w:pPr>
        <w:pStyle w:val="Agency-body-text"/>
        <w:rPr>
          <w:lang w:val="pl-PL"/>
        </w:rPr>
      </w:pPr>
      <w:r w:rsidRPr="00AF1FC1">
        <w:rPr>
          <w:lang w:val="pl-PL"/>
        </w:rPr>
        <w:t xml:space="preserve">W Strategii rozwoju edukacji w Republice Serbii do 2020 r. (dalej: SDES) wyróżniono istotne obszary: rozwój regionalny i statystyki edukacyjne oraz system informacyjny dla edukacji. Według SROS w tym segmencie systemu edukacji występowało kilka niedociągnięć: "od problemów ze wskaźnikami, gromadzeniem i kontrolą jakości zbieranych danych, przez wybór stosowanej metodologii i nieadekwatne wnioski z dostępnych danych, po brak koordynacji między różnymi instytucjami gromadzącymi dane krajowe i niezgodność z europejskimi sposobami prowadzenia statystyk edukacyjnych." </w:t>
      </w:r>
      <w:r w:rsidR="00A03F2A" w:rsidRPr="00865665">
        <w:rPr>
          <w:lang w:val="pl-PL"/>
        </w:rPr>
        <w:t xml:space="preserve">W odpowiedzi na te niedociągnięcia w ramach SDES wyróżniono osiem priorytetowych </w:t>
      </w:r>
      <w:r>
        <w:rPr>
          <w:lang w:val="pl-PL"/>
        </w:rPr>
        <w:t>działań</w:t>
      </w:r>
      <w:r w:rsidR="00A03F2A" w:rsidRPr="00865665">
        <w:rPr>
          <w:lang w:val="pl-PL"/>
        </w:rPr>
        <w:t>:</w:t>
      </w:r>
    </w:p>
    <w:p w14:paraId="42E0F225" w14:textId="078B60E5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1) ustanowienie funkcjonalnie ujednoliconego systemu informacyjnego</w:t>
      </w:r>
    </w:p>
    <w:p w14:paraId="4E939442" w14:textId="68EA7CBD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2) umożliwienie procesu generowania danych o dzieciach/studentach poprzez system edukacyjny</w:t>
      </w:r>
    </w:p>
    <w:p w14:paraId="677FDF7D" w14:textId="19F63923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3) prowadzenie rejestrów i gromadzenie danych w sposób umożliwiający kompletne analizy dla określonych grup dzieci/studentów</w:t>
      </w:r>
    </w:p>
    <w:p w14:paraId="34854097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4) angażowanie odpowiedniej liczby wykwalifikowanych członków, którzy zajmują się prowadzeniem statystyk księgowych i niezbędnych analiz w Instytucie Statystycznym Republiki oraz w Ministerstwie Edukacji</w:t>
      </w:r>
    </w:p>
    <w:p w14:paraId="0661AD5A" w14:textId="15FAAF23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5) określenie wzajemnych relacji instytucji prowadzących statystyki edukacyjne oraz harmonizacja metodologii obliczania i monitorowania wybranych wskaźników ze standardami międzynarodowymi</w:t>
      </w:r>
    </w:p>
    <w:p w14:paraId="0DACFD0E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6) zdefiniowanie systemu wskaźników statystycznych, które są niezbędne do monitorowania wdrażania przyjętych dokumentów strategicznych i polityki edukacyjnej w kraju</w:t>
      </w:r>
    </w:p>
    <w:p w14:paraId="4A6FB509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7) opracowanie systemu wskaźników w edukacji w taki sposób, aby umożliwić międzynarodowe porównania</w:t>
      </w:r>
    </w:p>
    <w:p w14:paraId="7065D13E" w14:textId="3A80EE0A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8) harmonizacja systemów informacyjnych w instytucjach oświatowych i referencyjnych.</w:t>
      </w:r>
    </w:p>
    <w:p w14:paraId="58AF5781" w14:textId="429C823B" w:rsidR="00571295" w:rsidRPr="00865665" w:rsidRDefault="00AF1FC1">
      <w:pPr>
        <w:pStyle w:val="Agency-heading-2"/>
        <w:rPr>
          <w:lang w:val="pl-PL"/>
        </w:rPr>
      </w:pPr>
      <w:r w:rsidRPr="00AF1FC1">
        <w:rPr>
          <w:lang w:val="pl-PL"/>
        </w:rPr>
        <w:lastRenderedPageBreak/>
        <w:t>Ustawa o podstawach systemu oświaty z 2009 roku określa kompetencje ministerstwa właściwego do spraw oświaty w zakresie planowania i monitorowania różnych aspektów rozwoju systemu oświaty w oparciu o odpowiednie dane, badania, analizy i ewaluacje. Jednak to, w jaki sposób i w odniesieniu do jakich wskaźników będzie monitorowana inkluzywność systemu, było wciąż obszarem niedostatecznie dopracowanym koncepcyjnie, instytucjonalnie i prawnie. W rezultacie spowodowało to fragmentaryczne monitorowanie działań i rezultatów w dziedzinie edukacji włączającej.</w:t>
      </w:r>
      <w:bookmarkStart w:id="11" w:name="_Toc76728145"/>
      <w:r w:rsidR="00564798">
        <w:rPr>
          <w:lang w:val="pl-PL"/>
        </w:rPr>
        <w:t xml:space="preserve"> </w:t>
      </w:r>
      <w:r w:rsidR="00A03F2A" w:rsidRPr="00865665">
        <w:rPr>
          <w:lang w:val="pl-PL"/>
        </w:rPr>
        <w:t>Ramy monitorowania edukacji włączającej w Serbii</w:t>
      </w:r>
      <w:bookmarkEnd w:id="11"/>
    </w:p>
    <w:p w14:paraId="0C0C44A9" w14:textId="77777777" w:rsidR="00AF1FC1" w:rsidRPr="00AF1FC1" w:rsidRDefault="00A03F2A" w:rsidP="00AF1FC1">
      <w:pPr>
        <w:pStyle w:val="Agency-body-text"/>
        <w:rPr>
          <w:lang w:val="pl-PL"/>
        </w:rPr>
      </w:pPr>
      <w:r w:rsidRPr="00865665">
        <w:rPr>
          <w:lang w:val="pl-PL"/>
        </w:rPr>
        <w:t>Biorąc pod uwagę liczebność działań politycznych zainicjowanych w 2009 r. w ramach reformy edukacji sprzyjającej włączeniu społecznemu, otwarta została szeroka przestrzeń w dziedzinie badań i oceny</w:t>
      </w:r>
    </w:p>
    <w:p w14:paraId="593C0AEE" w14:textId="77777777" w:rsidR="00AF1FC1" w:rsidRPr="00AF1FC1" w:rsidRDefault="00AF1FC1" w:rsidP="00AF1FC1">
      <w:pPr>
        <w:pStyle w:val="Agency-body-text"/>
        <w:rPr>
          <w:lang w:val="pl-PL"/>
        </w:rPr>
      </w:pPr>
      <w:r w:rsidRPr="00564798">
        <w:t xml:space="preserve">Jednym z rezultatów projektu był dokument Monitoring Framework for Inclusive Education in Serbia (dalej: MFIES). </w:t>
      </w:r>
      <w:r w:rsidRPr="00AF1FC1">
        <w:rPr>
          <w:lang w:val="pl-PL"/>
        </w:rPr>
        <w:t>Projekt został zainicjowany w celu zapewnienia wsparcia Ministerstwu Edukacji, Nauki i Rozwoju Technologicznego oraz Instytutowi Jakości i Ewaluacji Edukacji w zakresie obiektywnego monitorowania postępów osiągniętych w dziedzinie edukacji włączającej, z myślą o dalszym wdrażaniu i promowaniu edukacji włączającej w Serbii w oparciu o zebrane dane.</w:t>
      </w:r>
    </w:p>
    <w:p w14:paraId="50B575F2" w14:textId="7EA24A8D" w:rsidR="00571295" w:rsidRPr="00865665" w:rsidRDefault="00AF1FC1">
      <w:pPr>
        <w:pStyle w:val="Agency-body-text"/>
        <w:rPr>
          <w:lang w:val="pl-PL"/>
        </w:rPr>
      </w:pPr>
      <w:r w:rsidRPr="00AF1FC1">
        <w:rPr>
          <w:lang w:val="pl-PL"/>
        </w:rPr>
        <w:t>Inspiracją do opracowania MFIES i jego struktury była analiza porównawcza systemów monitorowania jakości edukacji włączającej stosowanych w Holandii, Wielkiej Brytanii - Walii i Szkocji, Australii - Victoria State, Nowej Zelandii.</w:t>
      </w:r>
      <w:r w:rsidR="00564798">
        <w:rPr>
          <w:lang w:val="pl-PL"/>
        </w:rPr>
        <w:t xml:space="preserve"> </w:t>
      </w:r>
      <w:r w:rsidRPr="00AF1FC1">
        <w:rPr>
          <w:lang w:val="pl-PL"/>
        </w:rPr>
        <w:t>W Ramach wprowadzono jedną istotną innowację. Rozróżnia się w nim wskaźniki wejściowe, procesowe i wyjściowe. Logika stojąca za tym rozróżnieniem jest dość istotna, zwłaszcza podczas wprowadzania edukacji włączającej: efekty edukacji włączającej (wskaźniki produktu) wynikają z pomyślnie przeprowadzonego procesu kształcenia (wskaźniki procesu), który z kolei może być jedynie konsekwencją wpływu zmiennych/wskaźników wejściowych. Dlatego też w pierwszych latach edukacji włączającej najsensowniej jest skoncentrować działania monitorujące na wskaźnikach wejściowych, tj. określić, czy wszystkie przewidziane działania konsekwentnie dotarły do beneficjentów (szkół, nauczycieli, dzieci, rodziców), a następnie przesunąć punkt ciężkości na wskaźniki procesowe, aby sprawdzić, czy działania są odpowiednio realizowane. Następnie, po kilku latach, należałoby się skupić na monitorowaniu wskaźników produktu.</w:t>
      </w:r>
      <w:r w:rsidR="00564798">
        <w:rPr>
          <w:lang w:val="pl-PL"/>
        </w:rPr>
        <w:t xml:space="preserve"> </w:t>
      </w:r>
      <w:r w:rsidR="00A03F2A" w:rsidRPr="00865665">
        <w:rPr>
          <w:lang w:val="pl-PL"/>
        </w:rPr>
        <w:t>Ramy te zawierają również proponowane wartości (kryteria porównania) dla szeregu wskaźników dla różnych przedziałów czasowych, wyznaczając tym samym oczekiwania rozwojowe w odniesieniu do systemu edukacji sprzyjającej włączeniu społecznemu.</w:t>
      </w:r>
    </w:p>
    <w:p w14:paraId="4142043F" w14:textId="52C4104E" w:rsidR="00571295" w:rsidRPr="00865665" w:rsidRDefault="00E55462">
      <w:pPr>
        <w:pStyle w:val="Agency-body-text"/>
        <w:rPr>
          <w:lang w:val="pl-PL"/>
        </w:rPr>
      </w:pPr>
      <w:r w:rsidRPr="00E55462">
        <w:rPr>
          <w:lang w:val="pl-PL"/>
        </w:rPr>
        <w:t xml:space="preserve">Ramy zostały opracowane z uwzględnieniem potrzeby ich wielofunkcyjności i możliwości umożliwienia tworzenia informacji dla następujących celów: a) rocznego lub wieloletniego raportowania na poziomie krajowym o stanie edukacji włączającej, w oparciu o wybrane wskaźniki wejściowe, procesowe i wyjściowe, b) raportowania na poziomie gminnym o </w:t>
      </w:r>
      <w:r w:rsidRPr="00E55462">
        <w:rPr>
          <w:lang w:val="pl-PL"/>
        </w:rPr>
        <w:lastRenderedPageBreak/>
        <w:t>stanie edukacji włączającej, c) uzupełnienia ram ewaluacji zewnętrznej szkół o nowe wskaźniki, d) wspierania rozwoju samooceny szkół oraz dla e) różnych celów badawczych i metaanalizy większej liczby badań.</w:t>
      </w:r>
      <w:r w:rsidR="00564798">
        <w:rPr>
          <w:lang w:val="pl-PL"/>
        </w:rPr>
        <w:t xml:space="preserve"> </w:t>
      </w:r>
      <w:r w:rsidRPr="00E55462">
        <w:rPr>
          <w:lang w:val="pl-PL"/>
        </w:rPr>
        <w:t>Głównym celem opracowania Ram Odniesienia było stworzenie możliwości wzmocnienia praktyk włączających i systematycznego planowania polityki edukacyjnej na różnych poziomach. Ramy zostały opracowane z uwzględnieniem potrzeby ich wielofunkcyjności i zdolności do wytwarzania informacji dla następujących celów: a) opracowywania rocznych lub wieloletnich krajowych raportów o stanie edukacji włączającej na podstawie wybranych wskaźników wejściowych, procesowych i wynikowych; b) opracowywania gminnych raportów o stanie edukacji włączającej; c) uzupełniania ram ewaluacji zewnętrznej szkół o nowe wskaźniki; d) wspierania rozwoju samooceny szkół i podstaw samooceny pracowników; e) różnych celów badawczych i metaanalizy licznych badań. Warto podkreślić, że wykorzystanie tego samego zestawu wskaźników i standaryzowanych instrumentów przez różnych interesariuszy i do różnych celów, między innymi, zapewnia spójność pojęciową. Wspólny język dla różnych interesariuszy, którzy są zawodowo i/lub osobiście zaangażowani w rozwój i wdrażanie edukacji włączającej, ma zasadnicze znaczenie dla konstruktywnego dialogu.</w:t>
      </w:r>
      <w:r w:rsidR="00564798">
        <w:rPr>
          <w:lang w:val="pl-PL"/>
        </w:rPr>
        <w:t xml:space="preserve"> </w:t>
      </w:r>
      <w:r w:rsidRPr="00E55462">
        <w:rPr>
          <w:lang w:val="pl-PL"/>
        </w:rPr>
        <w:t>Należy podkreślić, że korzystanie z tych samych ram przez różnych interesariuszy i do różnych celów ma jeszcze jedną, nieco mniej oczywistą, ale równie ważną funkcję (oprócz dopracowania Ram Monitorowania Edukacji Włączającej w sposób pragmatyczny), a mianowicie: zapewnienie spójności pojęciowej - wspólnego języka dla wszystkich poziomów i różnych interesariuszy systemu edukacji, ponieważ osoby o różnych zawodach zdobywały kwalifikacje w różnym czasie i okolicznościach, a ich uwaga poświęcana pewnym aspektom edukacji włączającej była do tej pory nierówna. Wspólny język jest niezbędny do komunikacji, która z kolei jest warunkiem konstruktywnej dyskusji, a dyskusja jest krytyczna, jeśli ma nastąpić jakikolwiek rozwój.</w:t>
      </w:r>
      <w:r w:rsidR="00564798">
        <w:rPr>
          <w:lang w:val="pl-PL"/>
        </w:rPr>
        <w:t xml:space="preserve"> </w:t>
      </w:r>
      <w:r w:rsidR="00A03F2A" w:rsidRPr="00865665">
        <w:rPr>
          <w:lang w:val="pl-PL"/>
        </w:rPr>
        <w:t xml:space="preserve">Na przykład w momencie wprowadzenia edukacji włączającej cele zostały zdefiniowane jedynie </w:t>
      </w:r>
      <w:r>
        <w:rPr>
          <w:lang w:val="pl-PL"/>
        </w:rPr>
        <w:t>w kategoriach</w:t>
      </w:r>
      <w:r w:rsidR="00A03F2A" w:rsidRPr="00865665">
        <w:rPr>
          <w:lang w:val="pl-PL"/>
        </w:rPr>
        <w:t xml:space="preserve"> osiągania postępów (np. „</w:t>
      </w:r>
      <w:r>
        <w:rPr>
          <w:lang w:val="pl-PL"/>
        </w:rPr>
        <w:t>do szkół ogólnodostępnych będzie uczęszczać więcej dzieci</w:t>
      </w:r>
      <w:r w:rsidR="00A03F2A" w:rsidRPr="00865665">
        <w:rPr>
          <w:lang w:val="pl-PL"/>
        </w:rPr>
        <w:t>”) lub jako aspiracje (np. „wszystkie dzieci romskie zapiszą się do szkół”) - w obu przypadkach brakuje opracowanego mechanizmu monitorowania, sformułowanych wskaźników, ustalenia poziomów odniesienia, specyfikacji rodzajów danych, które należy gromadzić i bez zalecanej metody sprawozdawczości.</w:t>
      </w:r>
      <w:r>
        <w:rPr>
          <w:lang w:val="pl-PL"/>
        </w:rPr>
        <w:t xml:space="preserve"> </w:t>
      </w:r>
      <w:r w:rsidR="00A03F2A" w:rsidRPr="00865665">
        <w:rPr>
          <w:lang w:val="pl-PL"/>
        </w:rPr>
        <w:t xml:space="preserve">Obecna sytuacja wynika również z faktu, że edukacja </w:t>
      </w:r>
      <w:r>
        <w:rPr>
          <w:lang w:val="pl-PL"/>
        </w:rPr>
        <w:t>włączająca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została w dużej mierze wprowadzona w ramach projektów, które prowadziły jedynie rejestr informacji istotnych dla ich pracy, w sposób określony przez instytucję finansującą, co w większości przypadków wiązało się z monitorowaniem nakładów, a nie procesów lub wyników.</w:t>
      </w:r>
    </w:p>
    <w:p w14:paraId="35AAE6E4" w14:textId="41C454E1" w:rsidR="00571295" w:rsidRPr="00865665" w:rsidRDefault="00A03F2A">
      <w:pPr>
        <w:pStyle w:val="Agency-heading-2"/>
        <w:rPr>
          <w:lang w:val="pl-PL"/>
        </w:rPr>
      </w:pPr>
      <w:bookmarkStart w:id="12" w:name="_Toc76728146"/>
      <w:r w:rsidRPr="00865665">
        <w:rPr>
          <w:lang w:val="pl-PL"/>
        </w:rPr>
        <w:t>Przegląd wdrażania</w:t>
      </w:r>
      <w:bookmarkEnd w:id="12"/>
    </w:p>
    <w:p w14:paraId="2EEF2ABF" w14:textId="77777777" w:rsidR="00E55462" w:rsidRPr="00E55462" w:rsidRDefault="00E55462" w:rsidP="00E55462">
      <w:pPr>
        <w:pStyle w:val="Agency-body-text"/>
        <w:rPr>
          <w:lang w:val="pl-PL"/>
        </w:rPr>
      </w:pPr>
      <w:r w:rsidRPr="00E55462">
        <w:rPr>
          <w:lang w:val="pl-PL"/>
        </w:rPr>
        <w:t>Szkoła zajmuje centralne miejsce w Ramach Odniesienia jako podstawowe źródło informacji, z którego dane są agregowane na wyższe poziomy. Wskaźniki na poziomie szkoły pogrupowane są w trzech obszarach: charakterystyka pracy pedagogicznej, etos szkoły i wspieranie edukacji włączającej. W celu zbadania wymiaru inkluzywności, w latach 2014 i 2015 przeprowadzono Badanie stanu edukacji włączającej w Serbii - Czy możemy mówić o wymiarze edukacji włączającej w szkołach? które obejmowało ocenę wskaźników na poziomie szkoły. Każdy wskaźnik na poziomie szkoły został zoperacjonalizowany jako krótki instrument.</w:t>
      </w:r>
    </w:p>
    <w:p w14:paraId="668CC189" w14:textId="46B2506F" w:rsidR="00571295" w:rsidRPr="00865665" w:rsidRDefault="00E55462">
      <w:pPr>
        <w:pStyle w:val="Agency-body-text"/>
        <w:rPr>
          <w:lang w:val="pl-PL"/>
        </w:rPr>
      </w:pPr>
      <w:r w:rsidRPr="00E55462">
        <w:rPr>
          <w:lang w:val="pl-PL"/>
        </w:rPr>
        <w:lastRenderedPageBreak/>
        <w:t>Dla większości wskaźników opracowano instrumenty dla różnych informatorów (np. nauczycieli, rodziców, uczniów, asystentów pedagogicznych). W ten sposób Rama składa się z 49 narzędzi, które mogą być używane indywidualnie w różnych zestawach funkcjonalnych.</w:t>
      </w:r>
      <w:r w:rsidR="00564798">
        <w:rPr>
          <w:lang w:val="pl-PL"/>
        </w:rPr>
        <w:t xml:space="preserve"> </w:t>
      </w:r>
      <w:r w:rsidR="00A03F2A" w:rsidRPr="00865665">
        <w:rPr>
          <w:lang w:val="pl-PL"/>
        </w:rPr>
        <w:t xml:space="preserve">Wyniki badania pilotażowego potwierdziły, że opracowane instrumenty są wiarygodne i </w:t>
      </w:r>
      <w:r w:rsidR="00067BCE">
        <w:rPr>
          <w:lang w:val="pl-PL"/>
        </w:rPr>
        <w:t>istotne</w:t>
      </w:r>
      <w:r w:rsidR="00A03F2A" w:rsidRPr="00865665">
        <w:rPr>
          <w:lang w:val="pl-PL"/>
        </w:rPr>
        <w:t>, z niewielkimi odchyleniami</w:t>
      </w:r>
      <w:r w:rsidR="009F36A1">
        <w:rPr>
          <w:lang w:val="pl-PL"/>
        </w:rPr>
        <w:t>.</w:t>
      </w:r>
      <w:r w:rsidR="00067BCE">
        <w:rPr>
          <w:lang w:val="pl-PL"/>
        </w:rPr>
        <w:t xml:space="preserve"> </w:t>
      </w:r>
      <w:r w:rsidR="009F36A1">
        <w:rPr>
          <w:lang w:val="pl-PL"/>
        </w:rPr>
        <w:t>P</w:t>
      </w:r>
      <w:r w:rsidR="00A03F2A" w:rsidRPr="00865665">
        <w:rPr>
          <w:lang w:val="pl-PL"/>
        </w:rPr>
        <w:t>otwierdz</w:t>
      </w:r>
      <w:r w:rsidR="00067BCE">
        <w:rPr>
          <w:lang w:val="pl-PL"/>
        </w:rPr>
        <w:t>iły</w:t>
      </w:r>
      <w:r w:rsidR="00A03F2A" w:rsidRPr="00865665">
        <w:rPr>
          <w:lang w:val="pl-PL"/>
        </w:rPr>
        <w:t xml:space="preserve"> </w:t>
      </w:r>
      <w:r w:rsidR="009F36A1">
        <w:rPr>
          <w:lang w:val="pl-PL"/>
        </w:rPr>
        <w:t xml:space="preserve">one również </w:t>
      </w:r>
      <w:r w:rsidR="00A03F2A" w:rsidRPr="00865665">
        <w:rPr>
          <w:lang w:val="pl-PL"/>
        </w:rPr>
        <w:t xml:space="preserve">przydatność podejścia </w:t>
      </w:r>
      <w:r w:rsidR="00067BCE">
        <w:rPr>
          <w:lang w:val="pl-PL"/>
        </w:rPr>
        <w:t>wieloaspektowego</w:t>
      </w:r>
      <w:r w:rsidR="00067BCE" w:rsidRPr="00865665">
        <w:rPr>
          <w:lang w:val="pl-PL"/>
        </w:rPr>
        <w:t xml:space="preserve"> </w:t>
      </w:r>
      <w:r w:rsidR="00A03F2A" w:rsidRPr="00865665">
        <w:rPr>
          <w:lang w:val="pl-PL"/>
        </w:rPr>
        <w:t>- zidentyfikowa</w:t>
      </w:r>
      <w:r w:rsidR="00067BCE">
        <w:rPr>
          <w:lang w:val="pl-PL"/>
        </w:rPr>
        <w:t>ły</w:t>
      </w:r>
      <w:r w:rsidR="00A03F2A" w:rsidRPr="00865665">
        <w:rPr>
          <w:lang w:val="pl-PL"/>
        </w:rPr>
        <w:t xml:space="preserve"> obszary stronniczości różnych informatorów;</w:t>
      </w:r>
      <w:r w:rsidR="00067BCE">
        <w:rPr>
          <w:lang w:val="pl-PL"/>
        </w:rPr>
        <w:t xml:space="preserve"> pomogły uzyskać</w:t>
      </w:r>
      <w:r w:rsidR="00A03F2A" w:rsidRPr="00865665">
        <w:rPr>
          <w:lang w:val="pl-PL"/>
        </w:rPr>
        <w:t xml:space="preserve"> pełny obraz</w:t>
      </w:r>
      <w:r w:rsidR="009F36A1">
        <w:rPr>
          <w:lang w:val="pl-PL"/>
        </w:rPr>
        <w:t>.</w:t>
      </w:r>
      <w:r w:rsidR="00067BCE">
        <w:rPr>
          <w:lang w:val="pl-PL"/>
        </w:rPr>
        <w:t xml:space="preserve"> </w:t>
      </w:r>
      <w:r w:rsidR="009F36A1">
        <w:rPr>
          <w:lang w:val="pl-PL"/>
        </w:rPr>
        <w:t>Wyniki pomogły</w:t>
      </w:r>
      <w:r w:rsidR="00126468">
        <w:rPr>
          <w:lang w:val="pl-PL"/>
        </w:rPr>
        <w:t xml:space="preserve"> uzyskać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>podstawy dla zharmonizowanych i zorganizowanych działań oraz poprawy edukacji sprzyjającej włączeniu społecznemu;</w:t>
      </w:r>
      <w:r w:rsidR="00126468">
        <w:rPr>
          <w:lang w:val="pl-PL"/>
        </w:rPr>
        <w:t xml:space="preserve"> </w:t>
      </w:r>
      <w:r w:rsidR="00A03F2A" w:rsidRPr="00865665">
        <w:rPr>
          <w:lang w:val="pl-PL"/>
        </w:rPr>
        <w:t>metodycznie ważny instrument (</w:t>
      </w:r>
      <w:r w:rsidR="00126468">
        <w:rPr>
          <w:lang w:val="pl-PL"/>
        </w:rPr>
        <w:t>ukazujący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 xml:space="preserve">unikalny wymiar </w:t>
      </w:r>
      <w:r w:rsidR="00126468">
        <w:rPr>
          <w:lang w:val="pl-PL"/>
        </w:rPr>
        <w:t>włączenia</w:t>
      </w:r>
      <w:r w:rsidR="00A03F2A" w:rsidRPr="00865665">
        <w:rPr>
          <w:lang w:val="pl-PL"/>
        </w:rPr>
        <w:t>).</w:t>
      </w:r>
      <w:r w:rsidR="00126468">
        <w:rPr>
          <w:lang w:val="pl-PL"/>
        </w:rPr>
        <w:t xml:space="preserve"> </w:t>
      </w:r>
      <w:r w:rsidR="00A03F2A" w:rsidRPr="00865665">
        <w:rPr>
          <w:lang w:val="pl-PL"/>
        </w:rPr>
        <w:t xml:space="preserve">Analiza głównych elementów wskazuje, że można mówić o jednym zjawisku lub konstrukcji, które można nazwać </w:t>
      </w:r>
      <w:r w:rsidR="00126468">
        <w:rPr>
          <w:lang w:val="pl-PL"/>
        </w:rPr>
        <w:t>włączeniem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>szkolną.</w:t>
      </w:r>
      <w:r w:rsidR="00126468">
        <w:rPr>
          <w:lang w:val="pl-PL"/>
        </w:rPr>
        <w:t xml:space="preserve"> </w:t>
      </w:r>
      <w:r w:rsidR="00A03F2A" w:rsidRPr="00865665">
        <w:rPr>
          <w:lang w:val="pl-PL"/>
        </w:rPr>
        <w:t xml:space="preserve">Główny element </w:t>
      </w:r>
      <w:r w:rsidR="00126468">
        <w:rPr>
          <w:lang w:val="pl-PL"/>
        </w:rPr>
        <w:t>włączenia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 xml:space="preserve">jest w największym stopniu powiązany z wynikami instrumentów, które mierzą postrzegane samopoczucie uczniów, postrzegane praktyki i gotowość nauczycieli do zachęcania uczniów do uczenia się, a także wysokie oczekiwania nauczycieli w odniesieniu do osiągnięć uczniów i obowiązków, co wskazuje na centralną pozycję czynników niepoznawczych w ocenie </w:t>
      </w:r>
      <w:r w:rsidR="00126468">
        <w:rPr>
          <w:lang w:val="pl-PL"/>
        </w:rPr>
        <w:t>włączenia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>w szkole.</w:t>
      </w:r>
      <w:r w:rsidR="00126468">
        <w:rPr>
          <w:lang w:val="pl-PL"/>
        </w:rPr>
        <w:t xml:space="preserve"> </w:t>
      </w:r>
      <w:r w:rsidR="00A03F2A" w:rsidRPr="00865665">
        <w:rPr>
          <w:lang w:val="pl-PL"/>
        </w:rPr>
        <w:t xml:space="preserve">Z drugiej strony w szkołach może istnieć wspólne uczenie się i praktyki zapobiegania przemocy i dyskryminacji, ale może nie być w takim stopniu związane ze wzmocnieniem </w:t>
      </w:r>
      <w:r w:rsidR="00126468">
        <w:rPr>
          <w:lang w:val="pl-PL"/>
        </w:rPr>
        <w:t>włączenia</w:t>
      </w:r>
      <w:r w:rsidR="00126468" w:rsidRPr="00865665">
        <w:rPr>
          <w:lang w:val="pl-PL"/>
        </w:rPr>
        <w:t xml:space="preserve"> </w:t>
      </w:r>
      <w:r w:rsidR="00A03F2A" w:rsidRPr="00865665">
        <w:rPr>
          <w:lang w:val="pl-PL"/>
        </w:rPr>
        <w:t>szkolne</w:t>
      </w:r>
      <w:r w:rsidR="00126468">
        <w:rPr>
          <w:lang w:val="pl-PL"/>
        </w:rPr>
        <w:t>go</w:t>
      </w:r>
      <w:r w:rsidR="00A03F2A" w:rsidRPr="00865665">
        <w:rPr>
          <w:lang w:val="pl-PL"/>
        </w:rPr>
        <w:t>, jak ma to miejsce w przypadku innych aspektów.</w:t>
      </w:r>
      <w:r w:rsidR="00A03F2A">
        <w:rPr>
          <w:rStyle w:val="FootnoteReference"/>
        </w:rPr>
        <w:footnoteReference w:id="1"/>
      </w:r>
    </w:p>
    <w:p w14:paraId="40E98FD8" w14:textId="1D7468DD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Przy wsparciu Banku Światowego doświadczenia z tymi ramami przełożono na zalecenia dotyczące poprawy ram samooceny szkół i oceny zewnętrznej, niezależnego monitorowania i oceny oraz poprawy krajowych statystyk dotyczących edukacji.</w:t>
      </w:r>
      <w:r w:rsidR="003469E4">
        <w:rPr>
          <w:lang w:val="pl-PL"/>
        </w:rPr>
        <w:t xml:space="preserve"> </w:t>
      </w:r>
      <w:r w:rsidRPr="00865665">
        <w:rPr>
          <w:lang w:val="pl-PL"/>
        </w:rPr>
        <w:t xml:space="preserve">Centrum Polityki Edukacyjnej posunęło się o krok dalej i w oparciu o analizę ram monitorowania edukacji włączającej i standardów jakości pracy instytucji edukacyjnych przygotowało propozycję poprawy </w:t>
      </w:r>
      <w:r w:rsidR="003469E4">
        <w:rPr>
          <w:lang w:val="pl-PL"/>
        </w:rPr>
        <w:t>włączającego</w:t>
      </w:r>
      <w:r w:rsidR="003469E4" w:rsidRPr="00865665">
        <w:rPr>
          <w:lang w:val="pl-PL"/>
        </w:rPr>
        <w:t xml:space="preserve"> </w:t>
      </w:r>
      <w:r w:rsidRPr="00865665">
        <w:rPr>
          <w:lang w:val="pl-PL"/>
        </w:rPr>
        <w:t>charakteru norm.</w:t>
      </w:r>
    </w:p>
    <w:p w14:paraId="5B401A99" w14:textId="70DA6152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Chociaż różne dane dotyczące edukacji włączającej były gromadzone na </w:t>
      </w:r>
      <w:r w:rsidR="003469E4">
        <w:rPr>
          <w:lang w:val="pl-PL"/>
        </w:rPr>
        <w:t>poczet</w:t>
      </w:r>
      <w:r w:rsidR="003469E4" w:rsidRPr="00865665">
        <w:rPr>
          <w:lang w:val="pl-PL"/>
        </w:rPr>
        <w:t xml:space="preserve"> </w:t>
      </w:r>
      <w:r w:rsidRPr="00865665">
        <w:rPr>
          <w:lang w:val="pl-PL"/>
        </w:rPr>
        <w:t xml:space="preserve">różnych potrzeb, przy zastosowaniu różnych metod, Ministerstwo Edukacji nie dysponowało wystarczającymi zdolnościami instytucjonalnymi, aby umożliwić </w:t>
      </w:r>
      <w:r w:rsidR="003469E4">
        <w:rPr>
          <w:lang w:val="pl-PL"/>
        </w:rPr>
        <w:t>skrzyżowanie</w:t>
      </w:r>
      <w:r w:rsidR="003469E4" w:rsidRPr="00865665">
        <w:rPr>
          <w:lang w:val="pl-PL"/>
        </w:rPr>
        <w:t xml:space="preserve"> </w:t>
      </w:r>
      <w:r w:rsidRPr="00865665">
        <w:rPr>
          <w:lang w:val="pl-PL"/>
        </w:rPr>
        <w:t>tych danych w celu przeprowadzenia konkretnych analiz.</w:t>
      </w:r>
    </w:p>
    <w:p w14:paraId="45494436" w14:textId="656031A5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Znaczący krok w kierunku ustanowienia zdolności instytucjonalnych Ministerstwa Edukacji Nauki i Rozwoju Technicznego (dalej:</w:t>
      </w:r>
      <w:r w:rsidR="003469E4">
        <w:rPr>
          <w:lang w:val="pl-PL"/>
        </w:rPr>
        <w:t xml:space="preserve"> </w:t>
      </w:r>
      <w:r w:rsidRPr="00865665">
        <w:rPr>
          <w:lang w:val="pl-PL"/>
        </w:rPr>
        <w:t xml:space="preserve">MoESTD) w tym obszarze było utworzenie Działu Analiz we współpracy z UNICEF i MoESTD, </w:t>
      </w:r>
      <w:r w:rsidR="003469E4">
        <w:rPr>
          <w:lang w:val="pl-PL"/>
        </w:rPr>
        <w:t>co</w:t>
      </w:r>
      <w:r w:rsidR="003469E4" w:rsidRPr="00865665">
        <w:rPr>
          <w:lang w:val="pl-PL"/>
        </w:rPr>
        <w:t xml:space="preserve"> </w:t>
      </w:r>
      <w:r w:rsidRPr="00865665">
        <w:rPr>
          <w:lang w:val="pl-PL"/>
        </w:rPr>
        <w:t>jest obecnie finansowan</w:t>
      </w:r>
      <w:r w:rsidR="003469E4">
        <w:rPr>
          <w:lang w:val="pl-PL"/>
        </w:rPr>
        <w:t>e</w:t>
      </w:r>
      <w:r w:rsidRPr="00865665">
        <w:rPr>
          <w:lang w:val="pl-PL"/>
        </w:rPr>
        <w:t xml:space="preserve"> z projektu.</w:t>
      </w:r>
    </w:p>
    <w:p w14:paraId="26CAA349" w14:textId="365D649A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Wobec braku kompleksowej i wielofunkcyjnej bazy krajowej opracowywane są różne indywidualne bazy.</w:t>
      </w:r>
      <w:r w:rsidR="003469E4">
        <w:rPr>
          <w:lang w:val="pl-PL"/>
        </w:rPr>
        <w:t xml:space="preserve"> Bazy</w:t>
      </w:r>
      <w:r w:rsidRPr="00865665">
        <w:rPr>
          <w:lang w:val="pl-PL"/>
        </w:rPr>
        <w:t>, które są dla nas szczególnie ważne to:</w:t>
      </w:r>
    </w:p>
    <w:p w14:paraId="46E6EEED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— baza danych rozwoju zawodowego nauczycieli, pedagogów i współpracowników zawodowych (Instytut ds. Poprawy Edukacji, ZUOV);</w:t>
      </w:r>
    </w:p>
    <w:p w14:paraId="2468D7E9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— baza wyników egzaminów końcowych (Instytut ds. Jakości i Oceny Edukacji, ZVKOV);</w:t>
      </w:r>
    </w:p>
    <w:p w14:paraId="652FC901" w14:textId="37E943BC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— baza wyników zewnętrznej oceny instytucji edukacyjnych (ZVKOV).</w:t>
      </w:r>
    </w:p>
    <w:p w14:paraId="753F1083" w14:textId="0F6879CE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Ważnym krokiem w kierunku poprawy monitorowania i oceny edukacji włączającej jest ustanowienie jednolitego systemu informacji o edukacji (JISP).</w:t>
      </w:r>
      <w:r w:rsidR="00322AD6">
        <w:rPr>
          <w:lang w:val="pl-PL"/>
        </w:rPr>
        <w:t xml:space="preserve"> </w:t>
      </w:r>
      <w:r w:rsidRPr="00865665">
        <w:rPr>
          <w:lang w:val="pl-PL"/>
        </w:rPr>
        <w:t xml:space="preserve">Ustanowienie JISP jest </w:t>
      </w:r>
      <w:r w:rsidRPr="00865665">
        <w:rPr>
          <w:lang w:val="pl-PL"/>
        </w:rPr>
        <w:lastRenderedPageBreak/>
        <w:t>warunkiem wstępnym poprawy procesu planowania i wdrażania środków w dziedzinie edukacji i monitorowania realizacji obowiązku osiągnięcia celów strategicznych i międzynarodowych.</w:t>
      </w:r>
      <w:r w:rsidR="00322AD6">
        <w:rPr>
          <w:lang w:val="pl-PL"/>
        </w:rPr>
        <w:t xml:space="preserve"> </w:t>
      </w:r>
      <w:r w:rsidRPr="00865665">
        <w:rPr>
          <w:lang w:val="pl-PL"/>
        </w:rPr>
        <w:t>Ponadto ramy strategiczne określają potrzebę ustanowienia systemu monitorowania i oceny w celu monitorowania zaangażowania uchodźców i osób wewnętrznie przesiedlonych w system edukacji (krajowa strategia na rzecz rozwiązywania kwestii uchodźców i osób wewnętrznie przesiedlonych) oraz monitorowania integracji studentów romskich (strategia integracji społecznej romskich mężczyzn i kobiet w Republice Serbii na lata 2016-2025).</w:t>
      </w:r>
    </w:p>
    <w:p w14:paraId="0F697A0A" w14:textId="238BB1CD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Najistotniejszą nowością w systemie informacyjnym edukacji jest wprowadzenie unikalnego numeru edukacyjnego (JOB).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 xml:space="preserve">Jest to liczba, która </w:t>
      </w:r>
      <w:r w:rsidR="009F36A1">
        <w:rPr>
          <w:lang w:val="pl-PL"/>
        </w:rPr>
        <w:t>ma dana osoba</w:t>
      </w:r>
      <w:r w:rsidRPr="00865665">
        <w:rPr>
          <w:lang w:val="pl-PL"/>
        </w:rPr>
        <w:t xml:space="preserve"> przez wszystkie poziomy kształcenia formalnego i wychowania i jest kluczem do połączenia wszystkich danych dotyczących dziecka, studenta i osoby dorosłej w systemie informacyjnym.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 xml:space="preserve">Wprowadzenie JOB umożliwi gromadzenie bardziej wiarygodnych danych na temat systemu edukacji, w tym na temat sytuacji grup szczególnie </w:t>
      </w:r>
      <w:r w:rsidR="009F36A1">
        <w:rPr>
          <w:lang w:val="pl-PL"/>
        </w:rPr>
        <w:t>zagrożonych</w:t>
      </w:r>
      <w:r w:rsidRPr="00865665">
        <w:rPr>
          <w:lang w:val="pl-PL"/>
        </w:rPr>
        <w:t>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>Różne kwestie związane z JOB zostaną określone w odpowiedni</w:t>
      </w:r>
      <w:r w:rsidR="009F36A1">
        <w:rPr>
          <w:lang w:val="pl-PL"/>
        </w:rPr>
        <w:t>ch przepisach</w:t>
      </w:r>
      <w:r w:rsidRPr="00865665">
        <w:rPr>
          <w:lang w:val="pl-PL"/>
        </w:rPr>
        <w:t>.</w:t>
      </w:r>
    </w:p>
    <w:p w14:paraId="5C7B7C44" w14:textId="70095795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W Urzędzie Statystycznym Republiki </w:t>
      </w:r>
      <w:r w:rsidR="009F36A1" w:rsidRPr="00865665">
        <w:rPr>
          <w:lang w:val="pl-PL"/>
        </w:rPr>
        <w:t>(dalej</w:t>
      </w:r>
      <w:r w:rsidR="00586D63">
        <w:rPr>
          <w:lang w:val="pl-PL"/>
        </w:rPr>
        <w:t xml:space="preserve"> zwany</w:t>
      </w:r>
      <w:r w:rsidR="009F36A1" w:rsidRPr="00865665">
        <w:rPr>
          <w:lang w:val="pl-PL"/>
        </w:rPr>
        <w:t>:</w:t>
      </w:r>
      <w:r w:rsidR="00586D63">
        <w:rPr>
          <w:lang w:val="pl-PL"/>
        </w:rPr>
        <w:t xml:space="preserve"> </w:t>
      </w:r>
      <w:r w:rsidR="009F36A1" w:rsidRPr="00865665">
        <w:rPr>
          <w:lang w:val="pl-PL"/>
        </w:rPr>
        <w:t xml:space="preserve">RSO) </w:t>
      </w:r>
      <w:r w:rsidRPr="00865665">
        <w:rPr>
          <w:lang w:val="pl-PL"/>
        </w:rPr>
        <w:t xml:space="preserve">istnieją szersze bazy danych dotyczące edukacji włączającej </w:t>
      </w:r>
      <w:r w:rsidR="009F36A1">
        <w:rPr>
          <w:lang w:val="pl-PL"/>
        </w:rPr>
        <w:t>. R</w:t>
      </w:r>
      <w:r w:rsidRPr="00865665">
        <w:rPr>
          <w:lang w:val="pl-PL"/>
        </w:rPr>
        <w:t xml:space="preserve">egularnie na początku roku szkolnego (instytucje przedszkolne) lub na początku i na końcu roku szkolnego (instytucje szkolnictwa podstawowego i średniego) za pośrednictwem kwestionariusza gromadzi </w:t>
      </w:r>
      <w:r w:rsidR="009F36A1">
        <w:rPr>
          <w:lang w:val="pl-PL"/>
        </w:rPr>
        <w:t xml:space="preserve">on </w:t>
      </w:r>
      <w:r w:rsidRPr="00865665">
        <w:rPr>
          <w:lang w:val="pl-PL"/>
        </w:rPr>
        <w:t>dane dotyczące systemu edukacji w Serbii.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>Zgromadzone w ten sposób dane (statystyki edukacyjne) mają charakter demograficzny</w:t>
      </w:r>
      <w:r w:rsidR="009F36A1">
        <w:rPr>
          <w:lang w:val="pl-PL"/>
        </w:rPr>
        <w:t xml:space="preserve">. </w:t>
      </w:r>
      <w:r w:rsidRPr="00865665">
        <w:rPr>
          <w:lang w:val="pl-PL"/>
        </w:rPr>
        <w:t xml:space="preserve">Podział na subpopulacja dokonywany jest według wieku i płci studentów oraz rodzajów edukacji i instytucji, ale, jak już wspomniano, nie za pomocą innych zmiennych niezbędnych do monitorowania zasięgu, postępów i ukończenia kształcenia, zwłaszcza studentów z grup szczególnie </w:t>
      </w:r>
      <w:r w:rsidR="009F36A1">
        <w:rPr>
          <w:lang w:val="pl-PL"/>
        </w:rPr>
        <w:t>zagrożonych</w:t>
      </w:r>
      <w:r w:rsidRPr="00865665">
        <w:rPr>
          <w:lang w:val="pl-PL"/>
        </w:rPr>
        <w:t>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 xml:space="preserve">Dane są zorganizowane w taki sposób, aby umożliwić oddzielne monitorowanie statystyk w szkołach </w:t>
      </w:r>
      <w:r w:rsidR="00586D63">
        <w:rPr>
          <w:lang w:val="pl-PL"/>
        </w:rPr>
        <w:t>ogólnodostępnych</w:t>
      </w:r>
      <w:r w:rsidR="00586D63" w:rsidRPr="00865665">
        <w:rPr>
          <w:lang w:val="pl-PL"/>
        </w:rPr>
        <w:t xml:space="preserve"> </w:t>
      </w:r>
      <w:r w:rsidRPr="00865665">
        <w:rPr>
          <w:lang w:val="pl-PL"/>
        </w:rPr>
        <w:t>oraz szkołach/klasach dla uczniów niepełnosprawnych.</w:t>
      </w:r>
      <w:r w:rsidR="009F36A1">
        <w:rPr>
          <w:lang w:val="pl-PL"/>
        </w:rPr>
        <w:t xml:space="preserve"> </w:t>
      </w:r>
      <w:r w:rsidRPr="00865665">
        <w:rPr>
          <w:lang w:val="pl-PL"/>
        </w:rPr>
        <w:t xml:space="preserve">Nie ma jednak możliwości oddzielnej analizy danych dla działów edukacji uczniów niepełnosprawnych w szkołach </w:t>
      </w:r>
      <w:r w:rsidR="00586D63">
        <w:rPr>
          <w:lang w:val="pl-PL"/>
        </w:rPr>
        <w:t>ogólnodostępnych</w:t>
      </w:r>
      <w:r w:rsidRPr="00865665">
        <w:rPr>
          <w:lang w:val="pl-PL"/>
        </w:rPr>
        <w:t>, co stanowi istotny brak.</w:t>
      </w:r>
    </w:p>
    <w:p w14:paraId="5EA74A21" w14:textId="5FDFB9F6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Począwszy od roku szkolnego 2012/2013 RSO gromadzi dane dotyczące liczby uczniów wykształconych w ramach IEP 1 i IEP 2, liczby uczniów, dla których) opinia </w:t>
      </w:r>
      <w:r w:rsidR="00586D63" w:rsidRPr="00865665">
        <w:rPr>
          <w:lang w:val="pl-PL"/>
        </w:rPr>
        <w:t>Komisj</w:t>
      </w:r>
      <w:r w:rsidR="00586D63">
        <w:rPr>
          <w:lang w:val="pl-PL"/>
        </w:rPr>
        <w:t>i</w:t>
      </w:r>
      <w:r w:rsidR="00586D63" w:rsidRPr="00865665">
        <w:rPr>
          <w:lang w:val="pl-PL"/>
        </w:rPr>
        <w:t xml:space="preserve"> Międzysektorow</w:t>
      </w:r>
      <w:r w:rsidR="00586D63">
        <w:rPr>
          <w:lang w:val="pl-PL"/>
        </w:rPr>
        <w:t>ej</w:t>
      </w:r>
      <w:r w:rsidR="00586D63" w:rsidRPr="00865665">
        <w:rPr>
          <w:lang w:val="pl-PL"/>
        </w:rPr>
        <w:t xml:space="preserve"> (dalej</w:t>
      </w:r>
      <w:r w:rsidR="00586D63">
        <w:rPr>
          <w:lang w:val="pl-PL"/>
        </w:rPr>
        <w:t xml:space="preserve"> zwana</w:t>
      </w:r>
      <w:r w:rsidR="00586D63" w:rsidRPr="00865665">
        <w:rPr>
          <w:lang w:val="pl-PL"/>
        </w:rPr>
        <w:t>:</w:t>
      </w:r>
      <w:r w:rsidR="00586D63">
        <w:rPr>
          <w:lang w:val="pl-PL"/>
        </w:rPr>
        <w:t xml:space="preserve"> </w:t>
      </w:r>
      <w:r w:rsidR="00586D63" w:rsidRPr="00865665">
        <w:rPr>
          <w:lang w:val="pl-PL"/>
        </w:rPr>
        <w:t>ISC</w:t>
      </w:r>
      <w:r w:rsidR="00586D63">
        <w:rPr>
          <w:lang w:val="pl-PL"/>
        </w:rPr>
        <w:t>)</w:t>
      </w:r>
      <w:r w:rsidR="00586D63" w:rsidRPr="00865665">
        <w:rPr>
          <w:lang w:val="pl-PL"/>
        </w:rPr>
        <w:t xml:space="preserve"> </w:t>
      </w:r>
      <w:r w:rsidRPr="00865665">
        <w:rPr>
          <w:lang w:val="pl-PL"/>
        </w:rPr>
        <w:t xml:space="preserve">została wydana w szkolnictwie podstawowym, </w:t>
      </w:r>
      <w:r w:rsidR="00A61E90">
        <w:rPr>
          <w:lang w:val="pl-PL"/>
        </w:rPr>
        <w:t xml:space="preserve">i </w:t>
      </w:r>
      <w:r w:rsidRPr="00865665">
        <w:rPr>
          <w:lang w:val="pl-PL"/>
        </w:rPr>
        <w:t>liczb</w:t>
      </w:r>
      <w:r w:rsidR="00A61E90">
        <w:rPr>
          <w:lang w:val="pl-PL"/>
        </w:rPr>
        <w:t>y</w:t>
      </w:r>
      <w:r w:rsidRPr="00865665">
        <w:rPr>
          <w:lang w:val="pl-PL"/>
        </w:rPr>
        <w:t xml:space="preserve"> studentów wykształconych w językach mniejszości narodowych.</w:t>
      </w:r>
      <w:r w:rsidR="005D7F55">
        <w:rPr>
          <w:lang w:val="pl-PL"/>
        </w:rPr>
        <w:t xml:space="preserve"> </w:t>
      </w:r>
      <w:r w:rsidRPr="00865665">
        <w:rPr>
          <w:lang w:val="pl-PL"/>
        </w:rPr>
        <w:t>Na szczeblu gminnym ustanawia się komitety międzysektorowe w celu oceny dodatkowych potrzeb osób uczących się w zakresie edukacji, opieki zdrowotnej i wsparcia społecznego na szczeblu gminnym.</w:t>
      </w:r>
      <w:r w:rsidR="00A61E90">
        <w:rPr>
          <w:lang w:val="pl-PL"/>
        </w:rPr>
        <w:t xml:space="preserve"> </w:t>
      </w:r>
      <w:r w:rsidRPr="00865665">
        <w:rPr>
          <w:lang w:val="pl-PL"/>
        </w:rPr>
        <w:t xml:space="preserve">W skład komitetów wchodzą przedstawiciele szkoły </w:t>
      </w:r>
      <w:r w:rsidR="00A61E90">
        <w:rPr>
          <w:lang w:val="pl-PL"/>
        </w:rPr>
        <w:t>ucznia</w:t>
      </w:r>
      <w:r w:rsidRPr="00865665">
        <w:rPr>
          <w:lang w:val="pl-PL"/>
        </w:rPr>
        <w:t>, ośrod</w:t>
      </w:r>
      <w:r w:rsidR="005D7F55">
        <w:rPr>
          <w:lang w:val="pl-PL"/>
        </w:rPr>
        <w:t>ek</w:t>
      </w:r>
      <w:r w:rsidRPr="00865665">
        <w:rPr>
          <w:lang w:val="pl-PL"/>
        </w:rPr>
        <w:t xml:space="preserve"> pracy społecznej oraz instytucj</w:t>
      </w:r>
      <w:r w:rsidR="005D7F55">
        <w:rPr>
          <w:lang w:val="pl-PL"/>
        </w:rPr>
        <w:t>ę</w:t>
      </w:r>
      <w:r w:rsidRPr="00865665">
        <w:rPr>
          <w:lang w:val="pl-PL"/>
        </w:rPr>
        <w:t xml:space="preserve"> opieki zdrowotnej odpowiedzialnej za ucznia.</w:t>
      </w:r>
      <w:r w:rsidR="005D7F55">
        <w:rPr>
          <w:lang w:val="pl-PL"/>
        </w:rPr>
        <w:t xml:space="preserve"> </w:t>
      </w:r>
      <w:r w:rsidRPr="00865665">
        <w:rPr>
          <w:lang w:val="pl-PL"/>
        </w:rPr>
        <w:t>Proponują one różne środki mające na celu wsparcie osób uczących się z grup znajdujących się w trudnej sytuacji.</w:t>
      </w:r>
      <w:r w:rsidR="005D7F55">
        <w:rPr>
          <w:lang w:val="pl-PL"/>
        </w:rPr>
        <w:t xml:space="preserve"> </w:t>
      </w:r>
      <w:r w:rsidRPr="00865665">
        <w:rPr>
          <w:lang w:val="pl-PL"/>
        </w:rPr>
        <w:t>Komisja tworzy i prowadzi następujące bazy danych:</w:t>
      </w:r>
    </w:p>
    <w:p w14:paraId="52D3AF2D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1) gromadzenie danych dotyczących dzieci, studentów i dorosłych, dla których rozpoczęto procedurę oceny zapotrzebowania na pomoc;</w:t>
      </w:r>
    </w:p>
    <w:p w14:paraId="085B241C" w14:textId="567CB0D6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2) gromadzenie danych dotyczących prac Komisji.</w:t>
      </w:r>
      <w:r w:rsidR="005D7F55">
        <w:rPr>
          <w:lang w:val="pl-PL"/>
        </w:rPr>
        <w:t xml:space="preserve"> </w:t>
      </w:r>
      <w:r w:rsidRPr="00865665">
        <w:rPr>
          <w:lang w:val="pl-PL"/>
        </w:rPr>
        <w:t>Wyniki są publikowane w corocznych wydaniach, biuletynach, Roczniku Statystycznym Serbii, publikacji „Regiony i gminy w Serbii” oraz na oficjalnej stronie internetowej RSO.</w:t>
      </w:r>
    </w:p>
    <w:p w14:paraId="2B84ECC3" w14:textId="24EDFC2B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lastRenderedPageBreak/>
        <w:t xml:space="preserve">W 2015 r., na podstawie ustawy o statystykach urzędowych, RSO, we współpracy z innymi odpowiedzialnymi </w:t>
      </w:r>
      <w:r w:rsidR="005D7F55">
        <w:rPr>
          <w:lang w:val="pl-PL"/>
        </w:rPr>
        <w:t>autorami</w:t>
      </w:r>
      <w:r w:rsidR="005D7F55" w:rsidRPr="00865665">
        <w:rPr>
          <w:lang w:val="pl-PL"/>
        </w:rPr>
        <w:t xml:space="preserve"> </w:t>
      </w:r>
      <w:r w:rsidRPr="00865665">
        <w:rPr>
          <w:lang w:val="pl-PL"/>
        </w:rPr>
        <w:t>statystyk urzędowych, przygotował program statystyk urzędowych na lata 2016-2020, w którym głównym celem jest harmonizacja badań statystycznych i wskaźników z międzynarodowymi standardami.</w:t>
      </w:r>
      <w:r w:rsidR="005D7F55">
        <w:rPr>
          <w:lang w:val="pl-PL"/>
        </w:rPr>
        <w:t xml:space="preserve"> </w:t>
      </w:r>
      <w:r w:rsidRPr="00865665">
        <w:rPr>
          <w:lang w:val="pl-PL"/>
        </w:rPr>
        <w:t>Integralną częścią programu jest strategia rozwoju statystyki publicznej w Republice Serbii przez pięć lat, która powinna zapewnić szybszy rozwój statystyki publicznej w kierunku harmonizacji metodologii, standardów i dobrej praktyki statystycznej, a także podstawę do uzyskania najważniejszych wskaźników statystycznych i zwiększenia ich porównywalności z danymi statystycznymi państw europejskich i innych państw.</w:t>
      </w:r>
    </w:p>
    <w:p w14:paraId="257BBD39" w14:textId="2E4D2BDE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Jednym z celów rozwojowych w statystyce społecznej jest poprawa zawartości danych w edukacji, między innymi poprzez zapewnienie większej liczby istotnych wskaźników.</w:t>
      </w:r>
      <w:r w:rsidR="00837C4A">
        <w:rPr>
          <w:lang w:val="pl-PL"/>
        </w:rPr>
        <w:t xml:space="preserve"> </w:t>
      </w:r>
      <w:r w:rsidRPr="00865665">
        <w:rPr>
          <w:lang w:val="pl-PL"/>
        </w:rPr>
        <w:t xml:space="preserve">Z przeglądu kwestionariusza wykorzystanego przez RSO wynika, że zgodnie z danymi dotyczącymi edukacji włączającej w regularne kształcenie podstawowe liczba studentów, którzy są </w:t>
      </w:r>
      <w:r w:rsidR="00837C4A">
        <w:rPr>
          <w:lang w:val="pl-PL"/>
        </w:rPr>
        <w:t>kształceni</w:t>
      </w:r>
      <w:r w:rsidR="00837C4A" w:rsidRPr="00865665">
        <w:rPr>
          <w:lang w:val="pl-PL"/>
        </w:rPr>
        <w:t xml:space="preserve"> </w:t>
      </w:r>
      <w:r w:rsidRPr="00865665">
        <w:rPr>
          <w:lang w:val="pl-PL"/>
        </w:rPr>
        <w:t>zgodnie z IEP</w:t>
      </w:r>
      <w:r w:rsidR="005C3F5A">
        <w:rPr>
          <w:lang w:val="pl-PL"/>
        </w:rPr>
        <w:t xml:space="preserve"> (indywidualnym programem nauczania)</w:t>
      </w:r>
      <w:r w:rsidRPr="00865665">
        <w:rPr>
          <w:lang w:val="pl-PL"/>
        </w:rPr>
        <w:t>, oraz liczba studentów, dla których zwrócono się o opinię ISC, są rejestrowane.</w:t>
      </w:r>
      <w:r w:rsidR="00837C4A">
        <w:rPr>
          <w:lang w:val="pl-PL"/>
        </w:rPr>
        <w:t xml:space="preserve"> </w:t>
      </w:r>
      <w:r w:rsidRPr="00865665">
        <w:rPr>
          <w:lang w:val="pl-PL"/>
        </w:rPr>
        <w:t>Jednocześnie gromadzenie tych danych ogranicza się do zwykłej szkoły podstawowej.</w:t>
      </w:r>
      <w:r w:rsidR="00837C4A">
        <w:rPr>
          <w:lang w:val="pl-PL"/>
        </w:rPr>
        <w:t xml:space="preserve"> </w:t>
      </w:r>
      <w:r w:rsidRPr="00865665">
        <w:rPr>
          <w:lang w:val="pl-PL"/>
        </w:rPr>
        <w:t>W kwestionariuszu dla instytucji przedszkolnych RSO uwzględnił największą liczbę danych dotyczących edukacji włączającej.</w:t>
      </w:r>
      <w:r w:rsidR="00837C4A">
        <w:rPr>
          <w:lang w:val="pl-PL"/>
        </w:rPr>
        <w:t xml:space="preserve"> </w:t>
      </w:r>
      <w:r w:rsidRPr="00865665">
        <w:rPr>
          <w:lang w:val="pl-PL"/>
        </w:rPr>
        <w:t>W kwestionariuszu zgromadzono dane dotyczące liczby grup rozwojowych i grup dzieci w leczeniu szpitalnym, jak również liczby dzieci przebywających</w:t>
      </w:r>
      <w:r w:rsidR="006267B0">
        <w:rPr>
          <w:lang w:val="pl-PL"/>
        </w:rPr>
        <w:t xml:space="preserve"> w szpitalach</w:t>
      </w:r>
      <w:r w:rsidRPr="00865665">
        <w:rPr>
          <w:lang w:val="pl-PL"/>
        </w:rPr>
        <w:t xml:space="preserve">, liczby dzieci, dla których opracowano IEP, liczby dzieci, dla których opracowano profil pedagogiczny, oraz liczby dzieci ponownie </w:t>
      </w:r>
      <w:r w:rsidR="005C3F5A">
        <w:rPr>
          <w:lang w:val="pl-PL"/>
        </w:rPr>
        <w:t>biorących udział w</w:t>
      </w:r>
      <w:r w:rsidRPr="00865665">
        <w:rPr>
          <w:lang w:val="pl-PL"/>
        </w:rPr>
        <w:t xml:space="preserve"> przedszkoln</w:t>
      </w:r>
      <w:r w:rsidR="005C3F5A">
        <w:rPr>
          <w:lang w:val="pl-PL"/>
        </w:rPr>
        <w:t>ym</w:t>
      </w:r>
      <w:r w:rsidRPr="00865665">
        <w:rPr>
          <w:lang w:val="pl-PL"/>
        </w:rPr>
        <w:t xml:space="preserve"> program</w:t>
      </w:r>
      <w:r w:rsidR="005C3F5A">
        <w:rPr>
          <w:lang w:val="pl-PL"/>
        </w:rPr>
        <w:t>ie</w:t>
      </w:r>
      <w:r w:rsidRPr="00865665">
        <w:rPr>
          <w:lang w:val="pl-PL"/>
        </w:rPr>
        <w:t xml:space="preserve"> przygotowawcz</w:t>
      </w:r>
      <w:r w:rsidR="005C3F5A">
        <w:rPr>
          <w:lang w:val="pl-PL"/>
        </w:rPr>
        <w:t>ym</w:t>
      </w:r>
      <w:r w:rsidRPr="00865665">
        <w:rPr>
          <w:lang w:val="pl-PL"/>
        </w:rPr>
        <w:t>.</w:t>
      </w:r>
    </w:p>
    <w:p w14:paraId="1716F905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Ponadto RSO gromadzi dane na temat liczby dzieci według języka ojczystego, w tym języka ojczystego romskiego, oraz prowadzi szczegółowe statystyki dotyczące struktury edukacyjnej i społeczno-ekonomicznej rodzin dzieci uczęszczających do edukacji przedszkolnej.</w:t>
      </w:r>
    </w:p>
    <w:p w14:paraId="675BE8F7" w14:textId="6198BB03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Można stwierdzić, że RSO jest najbardziej kompleksową, ciągłą bazą danych o edukacji, która umożliwia monitorowanie konkretnych wskaźników istotnych dla edukacji włączającej (np. liczby studentów kształconych zgodnie z IEP 1 i IEP 2).</w:t>
      </w:r>
    </w:p>
    <w:p w14:paraId="4C0535C1" w14:textId="4A816820" w:rsidR="00571295" w:rsidRPr="00865665" w:rsidRDefault="00A03F2A">
      <w:pPr>
        <w:pStyle w:val="Agency-heading-3"/>
        <w:rPr>
          <w:lang w:val="pl-PL"/>
        </w:rPr>
      </w:pPr>
      <w:bookmarkStart w:id="13" w:name="_Toc76728147"/>
      <w:r w:rsidRPr="00865665">
        <w:rPr>
          <w:lang w:val="pl-PL"/>
        </w:rPr>
        <w:t>Wyzwania i rozwój sytuacji</w:t>
      </w:r>
      <w:bookmarkEnd w:id="13"/>
    </w:p>
    <w:p w14:paraId="059E5079" w14:textId="3B4B5A5A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Statystyki w dziedzinie edukacji i innych systemów nadal nie dostarczają wystarczających i porównywalnych danych dotyczących kształcenia studentów z grup szczególnie </w:t>
      </w:r>
      <w:r w:rsidR="005C3F5A">
        <w:rPr>
          <w:lang w:val="pl-PL"/>
        </w:rPr>
        <w:t>zagrożonych</w:t>
      </w:r>
      <w:r w:rsidR="005C3F5A" w:rsidRPr="00865665">
        <w:rPr>
          <w:lang w:val="pl-PL"/>
        </w:rPr>
        <w:t xml:space="preserve"> </w:t>
      </w:r>
      <w:r w:rsidRPr="00865665">
        <w:rPr>
          <w:lang w:val="pl-PL"/>
        </w:rPr>
        <w:t>oraz potrzeby i zapewnienia dodatkowego wsparcia.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>Dane są gromadzone w różnych celach i za pomocą różnych metod w różnych okresach.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>Często uniemożliwia to agregację danych w celu stworzenia bardziej kompleksowego obrazu jakości edukacji włączającej i czynników, które na nią wpływają.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>Brak jest usystematyzowanych danych na temat potrzeb w zakresie dodatkowych środków i usług wsparcia, jakości istniejących środków i dodatkowych usług wsparcia, dostępnych zasobów ludzkich i ich kompetencji do pracy w środowisku sprzyjającym włączeniu społecznemu.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>Ponadto monitorowanie jakości edukacji włączającej jest dodatkowo utrudnione z powodu niezdolności do klasyfikowania danych przez różnych uczniów.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>Monitorowanie usystematyzowanych danych dotyczących dostępności fizycznej i informacyjnej za pomocą opracowanych wskaźników w ramach systemu JISP oraz poprawa dostępności cyfrowej zapewnią wszystkim uczestnikom większą dostępność i sprawiedliwość systemu edukacji.</w:t>
      </w:r>
      <w:r w:rsidR="005C3F5A">
        <w:rPr>
          <w:lang w:val="pl-PL"/>
        </w:rPr>
        <w:t xml:space="preserve"> </w:t>
      </w:r>
      <w:r w:rsidRPr="00865665">
        <w:rPr>
          <w:lang w:val="pl-PL"/>
        </w:rPr>
        <w:t xml:space="preserve">Ponadto, biorąc pod uwagę nowe </w:t>
      </w:r>
      <w:r w:rsidRPr="00865665">
        <w:rPr>
          <w:lang w:val="pl-PL"/>
        </w:rPr>
        <w:lastRenderedPageBreak/>
        <w:t>przepisy dotyczące ochrony danych osobowych, istnieje potrzeba dalszej harmonizacji przepisów dotyczących gromadzenia i wymiany danych między różnymi instytucjami i ministerstwami w celu lepszego planowania i monitorowania udzielania dodatkowego wsparcia dzieciom.</w:t>
      </w:r>
    </w:p>
    <w:p w14:paraId="33CF0F25" w14:textId="54D5F6A0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Różne sektory i departamenty rządowe gromadzące dane na temat dzieci i studentów z grup szczególnie wrażliwych (np. zdrowie, edukacja i ochrona socjalna) stosują różne klasyfikacje, co utrudnia porównywanie danych.</w:t>
      </w:r>
      <w:r w:rsidR="005F25F8">
        <w:rPr>
          <w:lang w:val="pl-PL"/>
        </w:rPr>
        <w:t xml:space="preserve"> </w:t>
      </w:r>
      <w:r w:rsidRPr="00865665">
        <w:rPr>
          <w:lang w:val="pl-PL"/>
        </w:rPr>
        <w:t>Na przykład w sektorze opieki zdrowotnej stosuje się Międzynarodową Klasyfikację Chorób 10 (ICD-10).</w:t>
      </w:r>
      <w:r w:rsidR="005F25F8">
        <w:rPr>
          <w:lang w:val="pl-PL"/>
        </w:rPr>
        <w:t xml:space="preserve"> </w:t>
      </w:r>
      <w:r w:rsidRPr="00865665">
        <w:rPr>
          <w:lang w:val="pl-PL"/>
        </w:rPr>
        <w:t>Jednocześnie w systemie edukacji program OECD jest najczęściej wykorzystywany do definiowania studentów potrzebujących dodatkowego wsparcia, studentów z niepełnosprawnościami w zakresie uczenia się, niepełnosprawnych uczniów i studentów mieszkających w niesprzyjającym społecznie środowisku.</w:t>
      </w:r>
      <w:r w:rsidR="005F25F8">
        <w:rPr>
          <w:lang w:val="pl-PL"/>
        </w:rPr>
        <w:t xml:space="preserve"> </w:t>
      </w:r>
      <w:r w:rsidRPr="00865665">
        <w:rPr>
          <w:lang w:val="pl-PL"/>
        </w:rPr>
        <w:t>Różne klasyfikacje są uzasadnione i zrozumiałe w odniesieniu do wymogów zawodowych i muszą zapewniać wsparcie, ale z konieczności prowadzą do różnych sposobów przechowywania danych.</w:t>
      </w:r>
      <w:r w:rsidR="00C73D55">
        <w:rPr>
          <w:lang w:val="pl-PL"/>
        </w:rPr>
        <w:t xml:space="preserve"> </w:t>
      </w:r>
      <w:r w:rsidRPr="00865665">
        <w:rPr>
          <w:lang w:val="pl-PL"/>
        </w:rPr>
        <w:t xml:space="preserve">Dodatkowym problemem jest to, że dane te często nie są klasyfikowane zgodnie z odpowiednimi cechami społeczno-gospodarczymi, co umożliwiłoby sformułowanie bardziej odpowiednich środków w celu poprawy pozycji niektórych grup dzieci i </w:t>
      </w:r>
      <w:r w:rsidR="00C73D55">
        <w:rPr>
          <w:lang w:val="pl-PL"/>
        </w:rPr>
        <w:t>uczniów</w:t>
      </w:r>
      <w:r w:rsidRPr="00865665">
        <w:rPr>
          <w:lang w:val="pl-PL"/>
        </w:rPr>
        <w:t>.</w:t>
      </w:r>
      <w:r w:rsidR="00C73D55">
        <w:rPr>
          <w:lang w:val="pl-PL"/>
        </w:rPr>
        <w:t xml:space="preserve"> </w:t>
      </w:r>
      <w:r w:rsidRPr="00865665">
        <w:rPr>
          <w:lang w:val="pl-PL"/>
        </w:rPr>
        <w:t>W odpowiedzi na to wyzwanie Komitet ds. Praw Osób Niepełnosprawnych zalecił Serbii „zaktualizowanie i gromadzenie danych i statystyk dotyczących osób niepełnosprawnych w podziale na wiek, płeć, rodzaj niepełnosprawności, narodowość i geografię, w tym rodzaj środowiska pod względem miejsca zamieszkania lub instytucji, pozew o dyskryminację lub przemoc wobec tych osób, z zastosowaniem podejścia opartego na prawach człowieka”.</w:t>
      </w:r>
    </w:p>
    <w:p w14:paraId="2984BC7C" w14:textId="0DA88993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 xml:space="preserve">Głównym celem w tym obszarze jest poprawa jakości i użyteczności danych na temat </w:t>
      </w:r>
      <w:r w:rsidR="00435D26">
        <w:rPr>
          <w:lang w:val="pl-PL"/>
        </w:rPr>
        <w:t xml:space="preserve"> </w:t>
      </w:r>
      <w:r w:rsidR="00C73D55">
        <w:rPr>
          <w:lang w:val="pl-PL"/>
        </w:rPr>
        <w:t>włączająceg</w:t>
      </w:r>
      <w:r w:rsidR="00435D26">
        <w:rPr>
          <w:lang w:val="pl-PL"/>
        </w:rPr>
        <w:t>o</w:t>
      </w:r>
      <w:r w:rsidR="00C73D55" w:rsidRPr="00865665">
        <w:rPr>
          <w:lang w:val="pl-PL"/>
        </w:rPr>
        <w:t xml:space="preserve"> </w:t>
      </w:r>
      <w:r w:rsidRPr="00865665">
        <w:rPr>
          <w:lang w:val="pl-PL"/>
        </w:rPr>
        <w:t>charakteru systemu edukacji Republiki Serbii.</w:t>
      </w:r>
      <w:r w:rsidR="00C73D55">
        <w:rPr>
          <w:lang w:val="pl-PL"/>
        </w:rPr>
        <w:t xml:space="preserve"> </w:t>
      </w:r>
      <w:r w:rsidRPr="00865665">
        <w:rPr>
          <w:lang w:val="pl-PL"/>
        </w:rPr>
        <w:t xml:space="preserve">Aby osiągnąć ten cel, </w:t>
      </w:r>
      <w:r w:rsidR="00C73D55">
        <w:rPr>
          <w:lang w:val="pl-PL"/>
        </w:rPr>
        <w:t>musimy</w:t>
      </w:r>
      <w:r w:rsidRPr="00865665">
        <w:rPr>
          <w:lang w:val="pl-PL"/>
        </w:rPr>
        <w:t>:</w:t>
      </w:r>
    </w:p>
    <w:p w14:paraId="643FAF4F" w14:textId="7E0196E4" w:rsidR="00571295" w:rsidRPr="00865665" w:rsidRDefault="00C73D55">
      <w:pPr>
        <w:pStyle w:val="Agency-body-text"/>
        <w:rPr>
          <w:lang w:val="pl-PL"/>
        </w:rPr>
      </w:pPr>
      <w:r>
        <w:rPr>
          <w:lang w:val="pl-PL"/>
        </w:rPr>
        <w:t>- zdefiniować</w:t>
      </w:r>
      <w:r w:rsidR="00A03F2A" w:rsidRPr="00865665">
        <w:rPr>
          <w:lang w:val="pl-PL"/>
        </w:rPr>
        <w:t xml:space="preserve"> funkcjonaln</w:t>
      </w:r>
      <w:r>
        <w:rPr>
          <w:lang w:val="pl-PL"/>
        </w:rPr>
        <w:t>y</w:t>
      </w:r>
      <w:r w:rsidR="00A03F2A" w:rsidRPr="00865665">
        <w:rPr>
          <w:lang w:val="pl-PL"/>
        </w:rPr>
        <w:t xml:space="preserve"> spos</w:t>
      </w:r>
      <w:r>
        <w:rPr>
          <w:lang w:val="pl-PL"/>
        </w:rPr>
        <w:t>ób</w:t>
      </w:r>
      <w:r w:rsidR="00A03F2A" w:rsidRPr="00865665">
        <w:rPr>
          <w:lang w:val="pl-PL"/>
        </w:rPr>
        <w:t xml:space="preserve"> prowadzenia ewidencji grup szczególnie </w:t>
      </w:r>
      <w:r>
        <w:rPr>
          <w:lang w:val="pl-PL"/>
        </w:rPr>
        <w:t>zagrożonych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we współpracy z innymi sektorami i departamentami państwowymi</w:t>
      </w:r>
      <w:r>
        <w:rPr>
          <w:lang w:val="pl-PL"/>
        </w:rPr>
        <w:t>,</w:t>
      </w:r>
    </w:p>
    <w:p w14:paraId="7A354C1D" w14:textId="4EB2FE52" w:rsidR="00571295" w:rsidRPr="00865665" w:rsidRDefault="00C73D55">
      <w:pPr>
        <w:pStyle w:val="Agency-body-text"/>
        <w:rPr>
          <w:lang w:val="pl-PL"/>
        </w:rPr>
      </w:pPr>
      <w:r>
        <w:rPr>
          <w:lang w:val="pl-PL"/>
        </w:rPr>
        <w:t>- zdefiniować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dodatkow</w:t>
      </w:r>
      <w:r>
        <w:rPr>
          <w:lang w:val="pl-PL"/>
        </w:rPr>
        <w:t>e</w:t>
      </w:r>
      <w:r w:rsidR="00A03F2A" w:rsidRPr="00865665">
        <w:rPr>
          <w:lang w:val="pl-PL"/>
        </w:rPr>
        <w:t xml:space="preserve"> mechanizm</w:t>
      </w:r>
      <w:r>
        <w:rPr>
          <w:lang w:val="pl-PL"/>
        </w:rPr>
        <w:t>y</w:t>
      </w:r>
      <w:r w:rsidR="00A03F2A" w:rsidRPr="00865665">
        <w:rPr>
          <w:lang w:val="pl-PL"/>
        </w:rPr>
        <w:t xml:space="preserve"> zapewniając</w:t>
      </w:r>
      <w:r>
        <w:rPr>
          <w:lang w:val="pl-PL"/>
        </w:rPr>
        <w:t>e</w:t>
      </w:r>
      <w:r w:rsidR="00A03F2A" w:rsidRPr="00865665">
        <w:rPr>
          <w:lang w:val="pl-PL"/>
        </w:rPr>
        <w:t xml:space="preserve"> jakość danych dotyczących systemu edukacji</w:t>
      </w:r>
      <w:r>
        <w:rPr>
          <w:lang w:val="pl-PL"/>
        </w:rPr>
        <w:t>,</w:t>
      </w:r>
    </w:p>
    <w:p w14:paraId="69B5F7F5" w14:textId="50726C1E" w:rsidR="00571295" w:rsidRPr="00865665" w:rsidRDefault="00C73D55">
      <w:pPr>
        <w:pStyle w:val="Agency-body-text"/>
        <w:rPr>
          <w:lang w:val="pl-PL"/>
        </w:rPr>
      </w:pPr>
      <w:r>
        <w:rPr>
          <w:lang w:val="pl-PL"/>
        </w:rPr>
        <w:t xml:space="preserve">- </w:t>
      </w:r>
      <w:r w:rsidR="00A03F2A" w:rsidRPr="00865665">
        <w:rPr>
          <w:lang w:val="pl-PL"/>
        </w:rPr>
        <w:t>informowa</w:t>
      </w:r>
      <w:r>
        <w:rPr>
          <w:lang w:val="pl-PL"/>
        </w:rPr>
        <w:t>ć</w:t>
      </w:r>
      <w:r w:rsidR="00A03F2A" w:rsidRPr="00865665">
        <w:rPr>
          <w:lang w:val="pl-PL"/>
        </w:rPr>
        <w:t xml:space="preserve"> instytucj</w:t>
      </w:r>
      <w:r>
        <w:rPr>
          <w:lang w:val="pl-PL"/>
        </w:rPr>
        <w:t>e</w:t>
      </w:r>
      <w:r w:rsidR="00A03F2A" w:rsidRPr="00865665">
        <w:rPr>
          <w:lang w:val="pl-PL"/>
        </w:rPr>
        <w:t xml:space="preserve"> </w:t>
      </w:r>
      <w:r w:rsidR="00564798" w:rsidRPr="00865665">
        <w:rPr>
          <w:lang w:val="pl-PL"/>
        </w:rPr>
        <w:t>edukacyjne</w:t>
      </w:r>
      <w:r w:rsidR="00A03F2A" w:rsidRPr="00865665">
        <w:rPr>
          <w:lang w:val="pl-PL"/>
        </w:rPr>
        <w:t xml:space="preserve"> o sposobie prowadzenia ewidencji na temat jakości praktyki, kultury i polityki integracyjnej na poziomie szkoły,</w:t>
      </w:r>
    </w:p>
    <w:p w14:paraId="04F662ED" w14:textId="184EC134" w:rsidR="00571295" w:rsidRPr="00865665" w:rsidRDefault="00435D26">
      <w:pPr>
        <w:pStyle w:val="Agency-body-text"/>
        <w:rPr>
          <w:lang w:val="pl-PL"/>
        </w:rPr>
      </w:pPr>
      <w:r>
        <w:rPr>
          <w:lang w:val="pl-PL"/>
        </w:rPr>
        <w:t xml:space="preserve">- </w:t>
      </w:r>
      <w:r w:rsidR="00A03F2A" w:rsidRPr="00865665">
        <w:rPr>
          <w:lang w:val="pl-PL"/>
        </w:rPr>
        <w:t>umożliwiać uznawanie gromadzenia danych, wprowadzania i kontroli jakości za prac</w:t>
      </w:r>
      <w:r>
        <w:rPr>
          <w:lang w:val="pl-PL"/>
        </w:rPr>
        <w:t>ę</w:t>
      </w:r>
      <w:r w:rsidR="00A03F2A" w:rsidRPr="00865665">
        <w:rPr>
          <w:lang w:val="pl-PL"/>
        </w:rPr>
        <w:t xml:space="preserve"> pracowników w dziedzinie edukacji;</w:t>
      </w:r>
    </w:p>
    <w:p w14:paraId="7B3DC74E" w14:textId="394AAC04" w:rsidR="00571295" w:rsidRPr="00865665" w:rsidRDefault="00435D26">
      <w:pPr>
        <w:pStyle w:val="Agency-body-text"/>
        <w:rPr>
          <w:lang w:val="pl-PL"/>
        </w:rPr>
      </w:pPr>
      <w:r>
        <w:rPr>
          <w:lang w:val="pl-PL"/>
        </w:rPr>
        <w:t xml:space="preserve">- </w:t>
      </w:r>
      <w:r w:rsidR="00A03F2A" w:rsidRPr="00865665">
        <w:rPr>
          <w:lang w:val="pl-PL"/>
        </w:rPr>
        <w:t>zapewni</w:t>
      </w:r>
      <w:r>
        <w:rPr>
          <w:lang w:val="pl-PL"/>
        </w:rPr>
        <w:t>ć</w:t>
      </w:r>
      <w:r w:rsidR="00A03F2A" w:rsidRPr="00865665">
        <w:rPr>
          <w:lang w:val="pl-PL"/>
        </w:rPr>
        <w:t xml:space="preserve"> możliwości łączenia różnych baz danych jako mechanizmu kontroli jakości danych;</w:t>
      </w:r>
    </w:p>
    <w:p w14:paraId="0C13F7CC" w14:textId="48C318CF" w:rsidR="00571295" w:rsidRPr="00865665" w:rsidRDefault="00435D26">
      <w:pPr>
        <w:pStyle w:val="Agency-body-text"/>
        <w:rPr>
          <w:lang w:val="pl-PL"/>
        </w:rPr>
      </w:pPr>
      <w:r>
        <w:rPr>
          <w:lang w:val="pl-PL"/>
        </w:rPr>
        <w:t xml:space="preserve">- </w:t>
      </w:r>
      <w:r w:rsidR="00A03F2A" w:rsidRPr="00865665">
        <w:rPr>
          <w:lang w:val="pl-PL"/>
        </w:rPr>
        <w:t>wzmocni</w:t>
      </w:r>
      <w:r>
        <w:rPr>
          <w:lang w:val="pl-PL"/>
        </w:rPr>
        <w:t>ć</w:t>
      </w:r>
      <w:r w:rsidR="00A03F2A" w:rsidRPr="00865665">
        <w:rPr>
          <w:lang w:val="pl-PL"/>
        </w:rPr>
        <w:t xml:space="preserve"> </w:t>
      </w:r>
      <w:r w:rsidR="0065367D">
        <w:rPr>
          <w:lang w:val="pl-PL"/>
        </w:rPr>
        <w:t>potencjał</w:t>
      </w:r>
      <w:r w:rsidR="001025BA" w:rsidRPr="00865665">
        <w:rPr>
          <w:lang w:val="pl-PL"/>
        </w:rPr>
        <w:t xml:space="preserve"> </w:t>
      </w:r>
      <w:r w:rsidR="00A03F2A" w:rsidRPr="00865665">
        <w:rPr>
          <w:lang w:val="pl-PL"/>
        </w:rPr>
        <w:t>i zapew</w:t>
      </w:r>
      <w:r w:rsidR="00564798">
        <w:rPr>
          <w:lang w:val="pl-PL"/>
        </w:rPr>
        <w:t>nić</w:t>
      </w:r>
      <w:r w:rsidR="00A03F2A" w:rsidRPr="00865665">
        <w:rPr>
          <w:lang w:val="pl-PL"/>
        </w:rPr>
        <w:t xml:space="preserve"> stabilne finansowani</w:t>
      </w:r>
      <w:r>
        <w:rPr>
          <w:lang w:val="pl-PL"/>
        </w:rPr>
        <w:t>e</w:t>
      </w:r>
      <w:r w:rsidR="00A03F2A" w:rsidRPr="00865665">
        <w:rPr>
          <w:lang w:val="pl-PL"/>
        </w:rPr>
        <w:t xml:space="preserve"> jednostki analitycznej w Ministerstwie we wspieraniu gromadzenia i agregowania danych jakościowych z poziomu instytucji oraz analiz i sprawozdawczości w zakresie edukacji włączającej.</w:t>
      </w:r>
    </w:p>
    <w:p w14:paraId="7515F558" w14:textId="4542AF0C" w:rsidR="00571295" w:rsidRPr="00865665" w:rsidRDefault="001025BA">
      <w:pPr>
        <w:pStyle w:val="Agency-body-text"/>
        <w:rPr>
          <w:lang w:val="pl-PL"/>
        </w:rPr>
      </w:pPr>
      <w:r>
        <w:rPr>
          <w:lang w:val="pl-PL"/>
        </w:rPr>
        <w:t>- o</w:t>
      </w:r>
      <w:r w:rsidR="00A03F2A" w:rsidRPr="00865665">
        <w:rPr>
          <w:lang w:val="pl-PL"/>
        </w:rPr>
        <w:t>kreśl</w:t>
      </w:r>
      <w:r>
        <w:rPr>
          <w:lang w:val="pl-PL"/>
        </w:rPr>
        <w:t>ić</w:t>
      </w:r>
      <w:r w:rsidR="00A03F2A" w:rsidRPr="00865665">
        <w:rPr>
          <w:lang w:val="pl-PL"/>
        </w:rPr>
        <w:t xml:space="preserve"> r</w:t>
      </w:r>
      <w:r>
        <w:rPr>
          <w:lang w:val="pl-PL"/>
        </w:rPr>
        <w:t>ole</w:t>
      </w:r>
      <w:r w:rsidR="00A03F2A" w:rsidRPr="00865665">
        <w:rPr>
          <w:lang w:val="pl-PL"/>
        </w:rPr>
        <w:t xml:space="preserve"> i obowiązk</w:t>
      </w:r>
      <w:r>
        <w:rPr>
          <w:lang w:val="pl-PL"/>
        </w:rPr>
        <w:t>i</w:t>
      </w:r>
      <w:r w:rsidR="00A03F2A" w:rsidRPr="00865665">
        <w:rPr>
          <w:lang w:val="pl-PL"/>
        </w:rPr>
        <w:t xml:space="preserve"> w zakresie monitorowania wskaźników </w:t>
      </w:r>
      <w:r>
        <w:rPr>
          <w:lang w:val="pl-PL"/>
        </w:rPr>
        <w:t>włącza</w:t>
      </w:r>
      <w:r w:rsidR="0065367D">
        <w:rPr>
          <w:lang w:val="pl-PL"/>
        </w:rPr>
        <w:t>j</w:t>
      </w:r>
      <w:r>
        <w:rPr>
          <w:lang w:val="pl-PL"/>
        </w:rPr>
        <w:t>ącego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charakteru systemu edukacji na szczeblu krajowym i lokalnym.</w:t>
      </w:r>
    </w:p>
    <w:p w14:paraId="66721F90" w14:textId="51825FC5" w:rsidR="00571295" w:rsidRPr="00865665" w:rsidRDefault="001025BA">
      <w:pPr>
        <w:pStyle w:val="Agency-body-text"/>
        <w:rPr>
          <w:lang w:val="pl-PL"/>
        </w:rPr>
      </w:pPr>
      <w:r>
        <w:rPr>
          <w:lang w:val="pl-PL"/>
        </w:rPr>
        <w:t>- o</w:t>
      </w:r>
      <w:r w:rsidR="00A03F2A" w:rsidRPr="00865665">
        <w:rPr>
          <w:lang w:val="pl-PL"/>
        </w:rPr>
        <w:t>pracowa</w:t>
      </w:r>
      <w:r>
        <w:rPr>
          <w:lang w:val="pl-PL"/>
        </w:rPr>
        <w:t>ć</w:t>
      </w:r>
      <w:r w:rsidR="00A03F2A" w:rsidRPr="00865665">
        <w:rPr>
          <w:lang w:val="pl-PL"/>
        </w:rPr>
        <w:t xml:space="preserve"> system systematycznego gromadzenia danych na temat zalecanych i wdrożonych środków </w:t>
      </w:r>
      <w:r>
        <w:rPr>
          <w:lang w:val="pl-PL"/>
        </w:rPr>
        <w:t>wsparcia dzieci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na szczeblu lokalnym, co jest warunkiem wstępnym poprawy lokalnego systemu planowania i promowania edukacji włączającej.</w:t>
      </w:r>
    </w:p>
    <w:p w14:paraId="1D08F1D0" w14:textId="61F88748" w:rsidR="00571295" w:rsidRPr="00865665" w:rsidRDefault="001025BA">
      <w:pPr>
        <w:pStyle w:val="Agency-body-text"/>
        <w:rPr>
          <w:lang w:val="pl-PL"/>
        </w:rPr>
      </w:pPr>
      <w:r>
        <w:rPr>
          <w:lang w:val="pl-PL"/>
        </w:rPr>
        <w:lastRenderedPageBreak/>
        <w:t xml:space="preserve">- </w:t>
      </w:r>
      <w:r w:rsidR="00A03F2A" w:rsidRPr="00865665">
        <w:rPr>
          <w:lang w:val="pl-PL"/>
        </w:rPr>
        <w:t>Opracowa</w:t>
      </w:r>
      <w:r>
        <w:rPr>
          <w:lang w:val="pl-PL"/>
        </w:rPr>
        <w:t>ć</w:t>
      </w:r>
      <w:r w:rsidR="00A03F2A" w:rsidRPr="00865665">
        <w:rPr>
          <w:lang w:val="pl-PL"/>
        </w:rPr>
        <w:t xml:space="preserve"> system i określ</w:t>
      </w:r>
      <w:r>
        <w:rPr>
          <w:lang w:val="pl-PL"/>
        </w:rPr>
        <w:t>ić</w:t>
      </w:r>
      <w:r w:rsidR="00A03F2A" w:rsidRPr="00865665">
        <w:rPr>
          <w:lang w:val="pl-PL"/>
        </w:rPr>
        <w:t xml:space="preserve"> kanał</w:t>
      </w:r>
      <w:r>
        <w:rPr>
          <w:lang w:val="pl-PL"/>
        </w:rPr>
        <w:t>y</w:t>
      </w:r>
      <w:r w:rsidR="00A03F2A" w:rsidRPr="00865665">
        <w:rPr>
          <w:lang w:val="pl-PL"/>
        </w:rPr>
        <w:t xml:space="preserve"> sprawozdawczości na temat zalecanych i rzeczywistych środków oraz inkluzywności i skuteczności systemu oceny we wspieraniu i angażowaniu rodziców.</w:t>
      </w:r>
    </w:p>
    <w:p w14:paraId="27F10717" w14:textId="77777777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W nowej strategii rozwoju edukacji w Republice Serbii do 2030 r., która została przyjęta w czerwcu 2021 r., uznano znaczenie monitorowania stanu edukacji sprzyjającej włączeniu społecznemu.</w:t>
      </w:r>
    </w:p>
    <w:p w14:paraId="7B3173E7" w14:textId="23F92444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Proponowane środki monitorowania edukacji włączającej to:</w:t>
      </w:r>
    </w:p>
    <w:p w14:paraId="33385FBA" w14:textId="16215A4D" w:rsidR="00571295" w:rsidRPr="00865665" w:rsidRDefault="000A02D9">
      <w:pPr>
        <w:pStyle w:val="Agency-body-text"/>
        <w:rPr>
          <w:lang w:val="pl-PL"/>
        </w:rPr>
      </w:pPr>
      <w:r>
        <w:rPr>
          <w:lang w:val="pl-PL"/>
        </w:rPr>
        <w:t>- o</w:t>
      </w:r>
      <w:r w:rsidR="00A03F2A" w:rsidRPr="00865665">
        <w:rPr>
          <w:lang w:val="pl-PL"/>
        </w:rPr>
        <w:t xml:space="preserve">pracowanie i przyjęcie planu działania na rzecz rozwoju edukacji sprzyjającej włączeniu społecznemu, który określi wskaźniki monitorowania </w:t>
      </w:r>
      <w:r>
        <w:rPr>
          <w:lang w:val="pl-PL"/>
        </w:rPr>
        <w:t>włączającego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charakteru systemu edukacji na szczeblu krajowym.</w:t>
      </w:r>
    </w:p>
    <w:p w14:paraId="14BD3153" w14:textId="356494DE" w:rsidR="00571295" w:rsidRPr="00865665" w:rsidRDefault="000A02D9">
      <w:pPr>
        <w:pStyle w:val="Agency-body-text"/>
        <w:rPr>
          <w:lang w:val="pl-PL"/>
        </w:rPr>
      </w:pPr>
      <w:r>
        <w:rPr>
          <w:lang w:val="pl-PL"/>
        </w:rPr>
        <w:t>- o</w:t>
      </w:r>
      <w:r w:rsidR="00A03F2A" w:rsidRPr="00865665">
        <w:rPr>
          <w:lang w:val="pl-PL"/>
        </w:rPr>
        <w:t xml:space="preserve">kreślenie ról i obowiązków w zakresie monitorowania wskaźników </w:t>
      </w:r>
      <w:r>
        <w:rPr>
          <w:lang w:val="pl-PL"/>
        </w:rPr>
        <w:t>włączenia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systemu edukacji na szczeblu krajowym i lokalnym.</w:t>
      </w:r>
    </w:p>
    <w:p w14:paraId="3919ECF5" w14:textId="6EAFDA51" w:rsidR="00571295" w:rsidRPr="00865665" w:rsidRDefault="000A02D9">
      <w:pPr>
        <w:pStyle w:val="Agency-body-text"/>
        <w:rPr>
          <w:lang w:val="pl-PL"/>
        </w:rPr>
      </w:pPr>
      <w:r>
        <w:rPr>
          <w:lang w:val="pl-PL"/>
        </w:rPr>
        <w:t>- p</w:t>
      </w:r>
      <w:r w:rsidR="00A03F2A" w:rsidRPr="00865665">
        <w:rPr>
          <w:lang w:val="pl-PL"/>
        </w:rPr>
        <w:t>rzygotowanie rocznych sprawozdań z realizacji edukacji włączającej.</w:t>
      </w:r>
    </w:p>
    <w:p w14:paraId="32A44880" w14:textId="106B9404" w:rsidR="00571295" w:rsidRPr="00865665" w:rsidRDefault="000A02D9">
      <w:pPr>
        <w:pStyle w:val="Agency-body-text"/>
        <w:rPr>
          <w:lang w:val="pl-PL"/>
        </w:rPr>
      </w:pPr>
      <w:r>
        <w:rPr>
          <w:lang w:val="pl-PL"/>
        </w:rPr>
        <w:t xml:space="preserve">- </w:t>
      </w:r>
      <w:r w:rsidR="00573C45">
        <w:rPr>
          <w:lang w:val="pl-PL"/>
        </w:rPr>
        <w:t>o</w:t>
      </w:r>
      <w:r w:rsidR="00A03F2A" w:rsidRPr="00865665">
        <w:rPr>
          <w:lang w:val="pl-PL"/>
        </w:rPr>
        <w:t xml:space="preserve">kreślenie funkcjonalnej metody prowadzenia ewidencji grup szczególnie </w:t>
      </w:r>
      <w:r w:rsidR="00573C45">
        <w:rPr>
          <w:lang w:val="pl-PL"/>
        </w:rPr>
        <w:t>zagrożonych</w:t>
      </w:r>
      <w:r w:rsidR="00573C45" w:rsidRPr="00865665">
        <w:rPr>
          <w:lang w:val="pl-PL"/>
        </w:rPr>
        <w:t xml:space="preserve"> </w:t>
      </w:r>
      <w:r w:rsidR="00A03F2A" w:rsidRPr="00865665">
        <w:rPr>
          <w:lang w:val="pl-PL"/>
        </w:rPr>
        <w:t>we współpracy z innymi sektorami państwowymi i ministerstwami.</w:t>
      </w:r>
    </w:p>
    <w:p w14:paraId="637E13A4" w14:textId="23FA184B" w:rsidR="00571295" w:rsidRPr="00865665" w:rsidRDefault="0065367D">
      <w:pPr>
        <w:pStyle w:val="Agency-body-text"/>
        <w:rPr>
          <w:lang w:val="pl-PL"/>
        </w:rPr>
      </w:pPr>
      <w:r>
        <w:rPr>
          <w:lang w:val="pl-PL"/>
        </w:rPr>
        <w:t>- w</w:t>
      </w:r>
      <w:r w:rsidR="00A03F2A" w:rsidRPr="00865665">
        <w:rPr>
          <w:lang w:val="pl-PL"/>
        </w:rPr>
        <w:t xml:space="preserve">łączenie do systemu informacji edukacyjnej rejestracji odpowiednich danych umożliwiających klasyfikację danych dotyczących poszczególnych grup szczególnie </w:t>
      </w:r>
      <w:r>
        <w:rPr>
          <w:lang w:val="pl-PL"/>
        </w:rPr>
        <w:t>zagrożonych</w:t>
      </w:r>
      <w:r w:rsidR="00A03F2A" w:rsidRPr="00865665">
        <w:rPr>
          <w:lang w:val="pl-PL"/>
        </w:rPr>
        <w:t>.</w:t>
      </w:r>
    </w:p>
    <w:p w14:paraId="76C45CCE" w14:textId="4C82AC05" w:rsidR="00571295" w:rsidRPr="00865665" w:rsidRDefault="0065367D">
      <w:pPr>
        <w:pStyle w:val="Agency-body-text"/>
        <w:rPr>
          <w:lang w:val="pl-PL"/>
        </w:rPr>
      </w:pPr>
      <w:r>
        <w:rPr>
          <w:lang w:val="pl-PL"/>
        </w:rPr>
        <w:t>- o</w:t>
      </w:r>
      <w:r w:rsidR="00A03F2A" w:rsidRPr="00865665">
        <w:rPr>
          <w:lang w:val="pl-PL"/>
        </w:rPr>
        <w:t>kreślenie dodatkowych mechanizmów zapewniających jakość danych dotyczących systemu edukacji (informowanie instytucji edukacyjnych o sposobach prowadzenia ewidencji na temat jakości praktyk integracyjnych, kultury i polityki na szczeblu instytucjonalnym;</w:t>
      </w:r>
      <w:r>
        <w:rPr>
          <w:lang w:val="pl-PL"/>
        </w:rPr>
        <w:t xml:space="preserve"> </w:t>
      </w:r>
      <w:r w:rsidR="00A03F2A" w:rsidRPr="00865665">
        <w:rPr>
          <w:lang w:val="pl-PL"/>
        </w:rPr>
        <w:t>uregulowanie takiego gromadzenia danych, wprowadzania i kontroli jakości jako obciążenia pracą pracowników w edukacji;</w:t>
      </w:r>
      <w:r>
        <w:rPr>
          <w:lang w:val="pl-PL"/>
        </w:rPr>
        <w:t xml:space="preserve"> </w:t>
      </w:r>
      <w:r w:rsidR="00A03F2A" w:rsidRPr="00865665">
        <w:rPr>
          <w:lang w:val="pl-PL"/>
        </w:rPr>
        <w:t>łączenie różnych danych baz danych jako mechanizmu kontroli jakości danych itp.).</w:t>
      </w:r>
    </w:p>
    <w:p w14:paraId="6629500E" w14:textId="521CCE51" w:rsidR="00571295" w:rsidRPr="00865665" w:rsidRDefault="0065367D">
      <w:pPr>
        <w:pStyle w:val="Agency-body-text"/>
        <w:rPr>
          <w:lang w:val="pl-PL"/>
        </w:rPr>
      </w:pPr>
      <w:r>
        <w:rPr>
          <w:lang w:val="pl-PL"/>
        </w:rPr>
        <w:t>- b</w:t>
      </w:r>
      <w:r w:rsidR="00A03F2A" w:rsidRPr="00865665">
        <w:rPr>
          <w:lang w:val="pl-PL"/>
        </w:rPr>
        <w:t xml:space="preserve">udowanie </w:t>
      </w:r>
      <w:r>
        <w:rPr>
          <w:lang w:val="pl-PL"/>
        </w:rPr>
        <w:t>potencjału</w:t>
      </w:r>
      <w:r w:rsidRPr="00865665">
        <w:rPr>
          <w:lang w:val="pl-PL"/>
        </w:rPr>
        <w:t xml:space="preserve"> </w:t>
      </w:r>
      <w:r w:rsidR="00A03F2A" w:rsidRPr="00865665">
        <w:rPr>
          <w:lang w:val="pl-PL"/>
        </w:rPr>
        <w:t>i zapewnienie stabilnego finansowania jednostki analitycznej w Ministerstwie w celu wspierania gromadzenia i agregowania danych jakościowych z poziomu instytucji oraz analiz i sprawozdawczości w zakresie edukacji włączającej.</w:t>
      </w:r>
    </w:p>
    <w:p w14:paraId="59F127CA" w14:textId="182780F9" w:rsidR="00571295" w:rsidRPr="00865665" w:rsidRDefault="0065367D">
      <w:pPr>
        <w:pStyle w:val="Agency-body-text"/>
        <w:rPr>
          <w:rFonts w:eastAsia="Arial Unicode MS"/>
          <w:lang w:val="pl-PL"/>
        </w:rPr>
      </w:pPr>
      <w:r>
        <w:rPr>
          <w:lang w:val="pl-PL"/>
        </w:rPr>
        <w:t>- n</w:t>
      </w:r>
      <w:r w:rsidR="00A03F2A" w:rsidRPr="00865665">
        <w:rPr>
          <w:lang w:val="pl-PL"/>
        </w:rPr>
        <w:t xml:space="preserve">awiązanie współpracy z instytucjami odpowiedzialnymi za monitorowanie i </w:t>
      </w:r>
      <w:r w:rsidR="0052603B">
        <w:rPr>
          <w:lang w:val="pl-PL"/>
        </w:rPr>
        <w:t>realizację</w:t>
      </w:r>
      <w:r w:rsidR="0052603B" w:rsidRPr="00865665">
        <w:rPr>
          <w:lang w:val="pl-PL"/>
        </w:rPr>
        <w:t xml:space="preserve"> </w:t>
      </w:r>
      <w:r w:rsidR="00A03F2A" w:rsidRPr="00865665">
        <w:rPr>
          <w:lang w:val="pl-PL"/>
        </w:rPr>
        <w:t>praw człowieka i praw mniejszości oraz ochronę przed przemocą i dyskryminacją.</w:t>
      </w:r>
    </w:p>
    <w:p w14:paraId="13905025" w14:textId="4FAC0DCD" w:rsidR="00571295" w:rsidRPr="00865665" w:rsidRDefault="00A03F2A">
      <w:pPr>
        <w:pStyle w:val="Agency-body-text"/>
        <w:rPr>
          <w:lang w:val="pl-PL"/>
        </w:rPr>
      </w:pPr>
      <w:r w:rsidRPr="00865665">
        <w:rPr>
          <w:lang w:val="pl-PL"/>
        </w:rPr>
        <w:t>Rząd Republiki Serbii zobowiązuje się do cyfryzacji administracji publicznej i poprawy jakości gromadzenia danych, w związku z czym Ministerstwo Edukacji, Nauki i Rozwoju Technologicznego opracowało jednolity system informacyjny sektora edukacji (UISE).</w:t>
      </w:r>
      <w:r w:rsidR="0052603B">
        <w:rPr>
          <w:lang w:val="pl-PL"/>
        </w:rPr>
        <w:t xml:space="preserve"> </w:t>
      </w:r>
      <w:r w:rsidRPr="00865665">
        <w:rPr>
          <w:lang w:val="pl-PL"/>
        </w:rPr>
        <w:t xml:space="preserve">System danych będzie podłączony do systemów danych służby zdrowia, administracji społecznej i administracji publicznej, w związku z czym rodzicom nie będzie </w:t>
      </w:r>
      <w:r w:rsidR="0052603B">
        <w:rPr>
          <w:lang w:val="pl-PL"/>
        </w:rPr>
        <w:t>potrzebna</w:t>
      </w:r>
      <w:r w:rsidR="0052603B" w:rsidRPr="00865665">
        <w:rPr>
          <w:lang w:val="pl-PL"/>
        </w:rPr>
        <w:t xml:space="preserve"> </w:t>
      </w:r>
      <w:r w:rsidRPr="00865665">
        <w:rPr>
          <w:lang w:val="pl-PL"/>
        </w:rPr>
        <w:t>żadna dodatkowa dokumentacja przy rejestracji dzieci do instytucji edukacyjnej.</w:t>
      </w:r>
      <w:r w:rsidR="0052603B">
        <w:rPr>
          <w:lang w:val="pl-PL"/>
        </w:rPr>
        <w:t xml:space="preserve"> </w:t>
      </w:r>
      <w:r w:rsidRPr="00865665">
        <w:rPr>
          <w:lang w:val="pl-PL"/>
        </w:rPr>
        <w:t xml:space="preserve">Każde dziecko otrzymuje Ujednolicony Numer Edukacyjny, gdy po raz pierwszy </w:t>
      </w:r>
      <w:r w:rsidR="0052603B">
        <w:rPr>
          <w:lang w:val="pl-PL"/>
        </w:rPr>
        <w:t>zostanie zapisane</w:t>
      </w:r>
      <w:r w:rsidRPr="00865665">
        <w:rPr>
          <w:lang w:val="pl-PL"/>
        </w:rPr>
        <w:t xml:space="preserve"> do systemu edukacji (</w:t>
      </w:r>
      <w:r w:rsidR="0052603B">
        <w:rPr>
          <w:lang w:val="pl-PL"/>
        </w:rPr>
        <w:t>żłobka</w:t>
      </w:r>
      <w:r w:rsidRPr="00865665">
        <w:rPr>
          <w:lang w:val="pl-PL"/>
        </w:rPr>
        <w:t xml:space="preserve">, </w:t>
      </w:r>
      <w:r w:rsidR="0052603B">
        <w:rPr>
          <w:lang w:val="pl-PL"/>
        </w:rPr>
        <w:t>p</w:t>
      </w:r>
      <w:r w:rsidRPr="00865665">
        <w:rPr>
          <w:lang w:val="pl-PL"/>
        </w:rPr>
        <w:t>rzedszkol</w:t>
      </w:r>
      <w:r w:rsidR="0052603B">
        <w:rPr>
          <w:lang w:val="pl-PL"/>
        </w:rPr>
        <w:t>a</w:t>
      </w:r>
      <w:r w:rsidRPr="00865665">
        <w:rPr>
          <w:lang w:val="pl-PL"/>
        </w:rPr>
        <w:t xml:space="preserve"> lub </w:t>
      </w:r>
      <w:r w:rsidR="0052603B">
        <w:rPr>
          <w:lang w:val="pl-PL"/>
        </w:rPr>
        <w:t>zerówki</w:t>
      </w:r>
      <w:r w:rsidRPr="00865665">
        <w:rPr>
          <w:lang w:val="pl-PL"/>
        </w:rPr>
        <w:t xml:space="preserve">), a </w:t>
      </w:r>
      <w:r w:rsidR="0052603B">
        <w:rPr>
          <w:lang w:val="pl-PL"/>
        </w:rPr>
        <w:t>numer</w:t>
      </w:r>
      <w:r w:rsidR="0052603B" w:rsidRPr="00865665">
        <w:rPr>
          <w:lang w:val="pl-PL"/>
        </w:rPr>
        <w:t xml:space="preserve"> </w:t>
      </w:r>
      <w:r w:rsidRPr="00865665">
        <w:rPr>
          <w:lang w:val="pl-PL"/>
        </w:rPr>
        <w:t>t</w:t>
      </w:r>
      <w:r w:rsidR="0052603B">
        <w:rPr>
          <w:lang w:val="pl-PL"/>
        </w:rPr>
        <w:t>en</w:t>
      </w:r>
      <w:r w:rsidRPr="00865665">
        <w:rPr>
          <w:lang w:val="pl-PL"/>
        </w:rPr>
        <w:t xml:space="preserve"> będzie </w:t>
      </w:r>
      <w:r w:rsidR="0052603B">
        <w:rPr>
          <w:lang w:val="pl-PL"/>
        </w:rPr>
        <w:t>przypisane do niego</w:t>
      </w:r>
      <w:r w:rsidRPr="00865665">
        <w:rPr>
          <w:lang w:val="pl-PL"/>
        </w:rPr>
        <w:t xml:space="preserve"> w całym systemie edukacji aż do ukończenia studiów wyższych.</w:t>
      </w:r>
      <w:r w:rsidR="0052603B">
        <w:rPr>
          <w:lang w:val="pl-PL"/>
        </w:rPr>
        <w:t xml:space="preserve"> </w:t>
      </w:r>
      <w:r w:rsidRPr="00865665">
        <w:rPr>
          <w:lang w:val="pl-PL"/>
        </w:rPr>
        <w:t xml:space="preserve">Ponieważ UISE zawiera wszystkie informacje, które mogą mieć znaczenie dla edukacji dziecka (w tym dane osobowe, język ojczysty, język ojczysty, aspekty społeczne, kwestie zdrowotne, w stosownych przypadkach, a także dane dotyczące specjalnych potrzeb edukacyjnych, dane te będą dostępne od samego początku, gdy </w:t>
      </w:r>
      <w:r w:rsidR="0052603B">
        <w:rPr>
          <w:lang w:val="pl-PL"/>
        </w:rPr>
        <w:t xml:space="preserve">dzieci </w:t>
      </w:r>
      <w:r w:rsidRPr="00865665">
        <w:rPr>
          <w:lang w:val="pl-PL"/>
        </w:rPr>
        <w:t xml:space="preserve">przenoszą się z jednej instytucji do innej </w:t>
      </w:r>
      <w:r w:rsidRPr="00865665">
        <w:rPr>
          <w:lang w:val="pl-PL"/>
        </w:rPr>
        <w:lastRenderedPageBreak/>
        <w:t>lub z jednego poziomu wykształcenia do drugiego.</w:t>
      </w:r>
      <w:r w:rsidR="0052603B">
        <w:rPr>
          <w:lang w:val="pl-PL"/>
        </w:rPr>
        <w:t xml:space="preserve"> </w:t>
      </w:r>
      <w:r w:rsidRPr="00865665">
        <w:rPr>
          <w:lang w:val="pl-PL"/>
        </w:rPr>
        <w:t xml:space="preserve">Dane te będą zawierać informacje istotne dla dalszego planowania strategicznego oraz szczegółowe informacje na temat przedwcześnie kończących naukę lub edukacji dzieci </w:t>
      </w:r>
      <w:r w:rsidR="0052603B">
        <w:rPr>
          <w:lang w:val="pl-PL"/>
        </w:rPr>
        <w:t xml:space="preserve">ze </w:t>
      </w:r>
      <w:r w:rsidR="002117B0">
        <w:rPr>
          <w:lang w:val="pl-PL"/>
        </w:rPr>
        <w:t>specjalnymi</w:t>
      </w:r>
      <w:r w:rsidR="0052603B">
        <w:rPr>
          <w:lang w:val="pl-PL"/>
        </w:rPr>
        <w:t xml:space="preserve"> potrzebami edukacyjnymi</w:t>
      </w:r>
      <w:r w:rsidRPr="00865665">
        <w:rPr>
          <w:lang w:val="pl-PL"/>
        </w:rPr>
        <w:t xml:space="preserve"> poprzez edukację i po jej zakończeniu.</w:t>
      </w:r>
    </w:p>
    <w:p w14:paraId="08A54DF0" w14:textId="169A4FE3" w:rsidR="00571295" w:rsidRPr="00865665" w:rsidRDefault="002117B0">
      <w:pPr>
        <w:pStyle w:val="Agency-heading-2"/>
        <w:rPr>
          <w:rStyle w:val="Hyperlink"/>
          <w:color w:val="000000" w:themeColor="text1"/>
          <w:u w:val="none"/>
          <w:lang w:val="pl-PL"/>
        </w:rPr>
      </w:pPr>
      <w:r>
        <w:rPr>
          <w:rStyle w:val="Hyperlink"/>
          <w:color w:val="000000" w:themeColor="text1"/>
          <w:u w:val="none"/>
          <w:lang w:val="pl-PL"/>
        </w:rPr>
        <w:t>Ź</w:t>
      </w:r>
      <w:r w:rsidR="0052603B">
        <w:rPr>
          <w:rStyle w:val="Hyperlink"/>
          <w:color w:val="000000" w:themeColor="text1"/>
          <w:u w:val="none"/>
          <w:lang w:val="pl-PL"/>
        </w:rPr>
        <w:t>ródła</w:t>
      </w:r>
    </w:p>
    <w:p w14:paraId="5018A6B4" w14:textId="49D6A80A" w:rsidR="00571295" w:rsidRPr="00865665" w:rsidRDefault="00A97FA0">
      <w:pPr>
        <w:pStyle w:val="Agency-body-text"/>
        <w:rPr>
          <w:rStyle w:val="Hyperlink"/>
          <w:color w:val="000000" w:themeColor="text1"/>
          <w:u w:val="none"/>
          <w:lang w:val="pl-PL"/>
        </w:rPr>
      </w:pPr>
      <w:r>
        <w:rPr>
          <w:rStyle w:val="Hyperlink"/>
          <w:color w:val="000000" w:themeColor="text1"/>
          <w:u w:val="none"/>
          <w:lang w:val="pl-PL"/>
        </w:rPr>
        <w:t xml:space="preserve">Jednostka </w:t>
      </w:r>
      <w:r w:rsidR="00A03F2A" w:rsidRPr="00865665">
        <w:rPr>
          <w:rStyle w:val="Hyperlink"/>
          <w:color w:val="000000" w:themeColor="text1"/>
          <w:u w:val="none"/>
          <w:lang w:val="pl-PL"/>
        </w:rPr>
        <w:t xml:space="preserve">ds. Włączenia Społecznego i Redukcji Ubóstwa, UNICEF i Instytut Psychologii, </w:t>
      </w:r>
      <w:r w:rsidR="002117B0">
        <w:rPr>
          <w:rStyle w:val="Hyperlink"/>
          <w:color w:val="000000" w:themeColor="text1"/>
          <w:u w:val="none"/>
          <w:lang w:val="pl-PL"/>
        </w:rPr>
        <w:t>Ramy edukacji włączającej w Serbii [</w:t>
      </w:r>
      <w:r w:rsidR="00A03F2A" w:rsidRPr="00865665">
        <w:rPr>
          <w:rStyle w:val="Hyperlink"/>
          <w:i/>
          <w:color w:val="000000" w:themeColor="text1"/>
          <w:u w:val="none"/>
          <w:lang w:val="pl-PL"/>
        </w:rPr>
        <w:t>Framework for Inclusive Education in Serbia</w:t>
      </w:r>
      <w:r w:rsidR="002117B0" w:rsidRPr="00564798">
        <w:rPr>
          <w:rStyle w:val="Hyperlink"/>
          <w:iCs/>
          <w:color w:val="000000" w:themeColor="text1"/>
          <w:u w:val="none"/>
          <w:lang w:val="pl-PL"/>
        </w:rPr>
        <w:t>]</w:t>
      </w:r>
      <w:r w:rsidR="00A03F2A" w:rsidRPr="00564798">
        <w:rPr>
          <w:rStyle w:val="Hyperlink"/>
          <w:iCs/>
          <w:color w:val="000000" w:themeColor="text1"/>
          <w:u w:val="none"/>
          <w:lang w:val="pl-PL"/>
        </w:rPr>
        <w:t>,</w:t>
      </w:r>
      <w:r w:rsidR="00A03F2A" w:rsidRPr="00865665">
        <w:rPr>
          <w:rStyle w:val="Hyperlink"/>
          <w:color w:val="000000" w:themeColor="text1"/>
          <w:u w:val="none"/>
          <w:lang w:val="pl-PL"/>
        </w:rPr>
        <w:t xml:space="preserve"> Ministerstwo Edukacji Nauki i Rozwoju Technicznego, Belgrad, Serbia, 2015, </w:t>
      </w:r>
      <w:hyperlink r:id="rId11" w:history="1">
        <w:r w:rsidR="00A03F2A" w:rsidRPr="00865665">
          <w:rPr>
            <w:rStyle w:val="Hyperlink"/>
            <w:lang w:val="pl-PL"/>
          </w:rPr>
          <w:t>http://socijalnoukljucivanje.gov.rs/wp-content/uploads/2014/11/Okvir-za-pracenje-inkluzivnog-obrazovanja-u-Srbiji-eng.pdf</w:t>
        </w:r>
      </w:hyperlink>
    </w:p>
    <w:p w14:paraId="79857ECC" w14:textId="4AF95389" w:rsidR="00571295" w:rsidRPr="00865665" w:rsidRDefault="00A97FA0">
      <w:pPr>
        <w:pStyle w:val="Agency-body-text"/>
        <w:rPr>
          <w:rStyle w:val="Hyperlink"/>
          <w:color w:val="000000" w:themeColor="text1"/>
          <w:u w:val="none"/>
          <w:lang w:val="pl-PL"/>
        </w:rPr>
      </w:pPr>
      <w:r>
        <w:rPr>
          <w:rStyle w:val="Hyperlink"/>
          <w:color w:val="000000" w:themeColor="text1"/>
          <w:u w:val="none"/>
          <w:lang w:val="pl-PL"/>
        </w:rPr>
        <w:t>Jednostka</w:t>
      </w:r>
      <w:r w:rsidRPr="00865665">
        <w:rPr>
          <w:rStyle w:val="Hyperlink"/>
          <w:color w:val="000000" w:themeColor="text1"/>
          <w:u w:val="none"/>
          <w:lang w:val="pl-PL"/>
        </w:rPr>
        <w:t xml:space="preserve"> </w:t>
      </w:r>
      <w:r w:rsidR="00A03F2A" w:rsidRPr="00865665">
        <w:rPr>
          <w:rStyle w:val="Hyperlink"/>
          <w:color w:val="000000" w:themeColor="text1"/>
          <w:u w:val="none"/>
          <w:lang w:val="pl-PL"/>
        </w:rPr>
        <w:t>ds. Włączenia Społecznego i Redukcji Ubóstwa, UNICEF</w:t>
      </w:r>
      <w:r w:rsidR="00A03F2A" w:rsidRPr="00865665">
        <w:rPr>
          <w:rStyle w:val="Hyperlink"/>
          <w:i/>
          <w:color w:val="000000" w:themeColor="text1"/>
          <w:u w:val="none"/>
          <w:lang w:val="pl-PL"/>
        </w:rPr>
        <w:t>,</w:t>
      </w:r>
      <w:r w:rsidR="00131C83" w:rsidRPr="00131C83">
        <w:t xml:space="preserve"> </w:t>
      </w:r>
      <w:r w:rsidR="00131C83" w:rsidRPr="00564798">
        <w:rPr>
          <w:rStyle w:val="Hyperlink"/>
          <w:iCs/>
          <w:color w:val="000000" w:themeColor="text1"/>
          <w:u w:val="none"/>
          <w:lang w:val="pl-PL"/>
        </w:rPr>
        <w:t>Krajowy raport o edukacji włączającej w Serbii za okres 2015-2018</w:t>
      </w:r>
      <w:r w:rsidR="00A03F2A" w:rsidRPr="00564798">
        <w:rPr>
          <w:rStyle w:val="Hyperlink"/>
          <w:iCs/>
          <w:color w:val="000000" w:themeColor="text1"/>
          <w:u w:val="none"/>
          <w:lang w:val="pl-PL"/>
        </w:rPr>
        <w:t xml:space="preserve"> </w:t>
      </w:r>
      <w:r w:rsidR="00131C83" w:rsidRPr="00564798">
        <w:rPr>
          <w:rStyle w:val="Hyperlink"/>
          <w:iCs/>
          <w:color w:val="000000" w:themeColor="text1"/>
          <w:u w:val="none"/>
          <w:lang w:val="pl-PL"/>
        </w:rPr>
        <w:t>[</w:t>
      </w:r>
      <w:r w:rsidR="00A03F2A" w:rsidRPr="00865665">
        <w:rPr>
          <w:rStyle w:val="Hyperlink"/>
          <w:i/>
          <w:color w:val="000000" w:themeColor="text1"/>
          <w:u w:val="none"/>
          <w:lang w:val="pl-PL"/>
        </w:rPr>
        <w:t>National Report on Inclusive Education in Serbia for the period 2015-2018</w:t>
      </w:r>
      <w:r w:rsidR="00131C83" w:rsidRPr="00564798">
        <w:rPr>
          <w:rStyle w:val="Hyperlink"/>
          <w:iCs/>
          <w:color w:val="000000" w:themeColor="text1"/>
          <w:u w:val="none"/>
          <w:lang w:val="pl-PL"/>
        </w:rPr>
        <w:t>]</w:t>
      </w:r>
      <w:r w:rsidR="00A03F2A" w:rsidRPr="00865665">
        <w:rPr>
          <w:rStyle w:val="Hyperlink"/>
          <w:i/>
          <w:color w:val="000000" w:themeColor="text1"/>
          <w:u w:val="none"/>
          <w:lang w:val="pl-PL"/>
        </w:rPr>
        <w:t>,</w:t>
      </w:r>
      <w:r w:rsidR="00A03F2A" w:rsidRPr="00865665">
        <w:rPr>
          <w:rStyle w:val="Hyperlink"/>
          <w:color w:val="000000" w:themeColor="text1"/>
          <w:u w:val="none"/>
          <w:lang w:val="pl-PL"/>
        </w:rPr>
        <w:t xml:space="preserve"> Ministerstwo Edukacji Nauki i Rozwoju Technicznego, Belgrad, Serbia, 2020, </w:t>
      </w:r>
      <w:hyperlink r:id="rId12" w:history="1">
        <w:r w:rsidR="00A03F2A" w:rsidRPr="00865665">
          <w:rPr>
            <w:rStyle w:val="Hyperlink"/>
            <w:lang w:val="pl-PL"/>
          </w:rPr>
          <w:t>https://www.unicef.org/serbia/publikacije/nacionalni-izvestaj-o-inkluzivnom-obrazovanju</w:t>
        </w:r>
      </w:hyperlink>
    </w:p>
    <w:p w14:paraId="0EC3EEB9" w14:textId="3E7B6540" w:rsidR="00571295" w:rsidRPr="00564798" w:rsidRDefault="00A03F2A" w:rsidP="00131C83">
      <w:pPr>
        <w:pStyle w:val="Agency-body-text"/>
        <w:rPr>
          <w:rStyle w:val="Hyperlink"/>
          <w:i/>
          <w:color w:val="000000" w:themeColor="text1"/>
          <w:u w:val="none"/>
          <w:lang w:val="pl-PL"/>
        </w:rPr>
      </w:pPr>
      <w:r w:rsidRPr="00865665">
        <w:rPr>
          <w:rStyle w:val="Hyperlink"/>
          <w:color w:val="000000" w:themeColor="text1"/>
          <w:u w:val="none"/>
          <w:lang w:val="pl-PL"/>
        </w:rPr>
        <w:t xml:space="preserve">D. Pavlović-Babić, V. Jovanović, O. Jovanović, T. Jokić T. Kovač-Cerović i V. Rajović, </w:t>
      </w:r>
      <w:r w:rsidRPr="00865665">
        <w:rPr>
          <w:rStyle w:val="Hyperlink"/>
          <w:i/>
          <w:color w:val="000000" w:themeColor="text1"/>
          <w:u w:val="none"/>
          <w:lang w:val="pl-PL"/>
        </w:rPr>
        <w:t>Pierwszy kompleksowy monitoring edukacji integracyjnej w Republice Serbii:</w:t>
      </w:r>
      <w:r w:rsidR="00131C83">
        <w:rPr>
          <w:rStyle w:val="Hyperlink"/>
          <w:i/>
          <w:color w:val="000000" w:themeColor="text1"/>
          <w:u w:val="none"/>
          <w:lang w:val="pl-PL"/>
        </w:rPr>
        <w:t xml:space="preserve"> </w:t>
      </w:r>
      <w:r w:rsidRPr="00865665">
        <w:rPr>
          <w:rStyle w:val="Hyperlink"/>
          <w:i/>
          <w:color w:val="000000" w:themeColor="text1"/>
          <w:u w:val="none"/>
          <w:lang w:val="pl-PL"/>
        </w:rPr>
        <w:t xml:space="preserve">Wybrane </w:t>
      </w:r>
      <w:r w:rsidR="00131C83">
        <w:rPr>
          <w:rStyle w:val="Hyperlink"/>
          <w:i/>
          <w:color w:val="000000" w:themeColor="text1"/>
          <w:u w:val="none"/>
          <w:lang w:val="pl-PL"/>
        </w:rPr>
        <w:t xml:space="preserve">wnioski </w:t>
      </w:r>
      <w:r w:rsidR="00131C83" w:rsidRPr="00564798">
        <w:rPr>
          <w:rStyle w:val="Hyperlink"/>
          <w:iCs/>
          <w:color w:val="000000" w:themeColor="text1"/>
          <w:u w:val="none"/>
          <w:lang w:val="pl-PL"/>
        </w:rPr>
        <w:t>[</w:t>
      </w:r>
      <w:r w:rsidR="00131C83" w:rsidRPr="00131C83">
        <w:rPr>
          <w:rStyle w:val="Hyperlink"/>
          <w:i/>
          <w:color w:val="000000" w:themeColor="text1"/>
          <w:u w:val="none"/>
          <w:lang w:val="pl-PL"/>
        </w:rPr>
        <w:t>First</w:t>
      </w:r>
      <w:r w:rsidR="00131C83">
        <w:rPr>
          <w:rStyle w:val="Hyperlink"/>
          <w:i/>
          <w:color w:val="000000" w:themeColor="text1"/>
          <w:u w:val="none"/>
          <w:lang w:val="pl-PL"/>
        </w:rPr>
        <w:t xml:space="preserve"> </w:t>
      </w:r>
      <w:r w:rsidR="00131C83" w:rsidRPr="00131C83">
        <w:rPr>
          <w:rStyle w:val="Hyperlink"/>
          <w:i/>
          <w:color w:val="000000" w:themeColor="text1"/>
          <w:u w:val="none"/>
          <w:lang w:val="pl-PL"/>
        </w:rPr>
        <w:t>Comprehensive Monitoring of Inclusive Education in Republic of Serbia: Selected Findings,</w:t>
      </w:r>
      <w:r w:rsidR="00131C83">
        <w:rPr>
          <w:rStyle w:val="Hyperlink"/>
          <w:i/>
          <w:color w:val="000000" w:themeColor="text1"/>
          <w:u w:val="none"/>
          <w:lang w:val="pl-PL"/>
        </w:rPr>
        <w:t xml:space="preserve"> </w:t>
      </w:r>
      <w:r w:rsidR="00131C83" w:rsidRPr="00131C83">
        <w:rPr>
          <w:rStyle w:val="Hyperlink"/>
          <w:i/>
          <w:color w:val="000000" w:themeColor="text1"/>
          <w:u w:val="none"/>
          <w:lang w:val="pl-PL"/>
        </w:rPr>
        <w:t>Institute for Educational Research</w:t>
      </w:r>
      <w:r w:rsidR="00131C83" w:rsidRPr="00564798">
        <w:rPr>
          <w:rStyle w:val="Hyperlink"/>
          <w:iCs/>
          <w:color w:val="000000" w:themeColor="text1"/>
          <w:u w:val="none"/>
          <w:lang w:val="pl-PL"/>
        </w:rPr>
        <w:t>]</w:t>
      </w:r>
      <w:r w:rsidRPr="00865665">
        <w:rPr>
          <w:rStyle w:val="Hyperlink"/>
          <w:color w:val="000000" w:themeColor="text1"/>
          <w:u w:val="none"/>
          <w:lang w:val="pl-PL"/>
        </w:rPr>
        <w:t>,</w:t>
      </w:r>
      <w:r w:rsidRPr="00865665">
        <w:rPr>
          <w:lang w:val="pl-PL"/>
        </w:rPr>
        <w:t xml:space="preserve"> </w:t>
      </w:r>
      <w:r w:rsidR="00131C83" w:rsidRPr="00131C83">
        <w:rPr>
          <w:lang w:val="pl-PL"/>
        </w:rPr>
        <w:t>Instytut Badań Edukacyjnych</w:t>
      </w:r>
      <w:r w:rsidRPr="00865665">
        <w:rPr>
          <w:rStyle w:val="Hyperlink"/>
          <w:color w:val="000000" w:themeColor="text1"/>
          <w:u w:val="none"/>
          <w:lang w:val="pl-PL"/>
        </w:rPr>
        <w:t xml:space="preserve">, Belgrad, Serbia, 2016, </w:t>
      </w:r>
      <w:hyperlink r:id="rId13" w:history="1">
        <w:r w:rsidRPr="00865665">
          <w:rPr>
            <w:rStyle w:val="Hyperlink"/>
            <w:lang w:val="pl-PL"/>
          </w:rPr>
          <w:t>https://www.researchgate.net/publication/311582830_First_comprehensive_monitoring_of_inclusive_education_in_Serbia_selected_findings</w:t>
        </w:r>
      </w:hyperlink>
      <w:r w:rsidRPr="00865665">
        <w:rPr>
          <w:rStyle w:val="Hyperlink"/>
          <w:color w:val="000000" w:themeColor="text1"/>
          <w:u w:val="none"/>
          <w:lang w:val="pl-PL"/>
        </w:rPr>
        <w:t xml:space="preserve"> </w:t>
      </w:r>
    </w:p>
    <w:sectPr w:rsidR="00571295" w:rsidRPr="005647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899" w:h="16838"/>
      <w:pgMar w:top="1134" w:right="1531" w:bottom="1276" w:left="153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170A" w14:textId="77777777" w:rsidR="00B80118" w:rsidRDefault="00B80118">
      <w:r>
        <w:separator/>
      </w:r>
    </w:p>
  </w:endnote>
  <w:endnote w:type="continuationSeparator" w:id="0">
    <w:p w14:paraId="7526DF63" w14:textId="77777777" w:rsidR="00B80118" w:rsidRDefault="00B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7672" w14:textId="3D65EC58" w:rsidR="00571295" w:rsidRDefault="00A03F2A">
    <w:pPr>
      <w:pStyle w:val="P68B1DB1-Normal9"/>
      <w:framePr w:wrap="around" w:vAnchor="text" w:hAnchor="margin" w:xAlign="outside" w:y="1"/>
      <w:jc w:val="right"/>
    </w:pPr>
    <w:r>
      <w:fldChar w:fldCharType="begin"/>
    </w:r>
    <w:r>
      <w:instrText xml:space="preserve">PAGE  </w:instrText>
    </w:r>
    <w:r>
      <w:fldChar w:fldCharType="separate"/>
    </w:r>
    <w:r>
      <w:t>12</w:t>
    </w:r>
    <w:r>
      <w:fldChar w:fldCharType="end"/>
    </w:r>
  </w:p>
  <w:p w14:paraId="4F758AF3" w14:textId="40E68855" w:rsidR="00571295" w:rsidRDefault="00A03F2A">
    <w:pPr>
      <w:pStyle w:val="Agency-footer"/>
      <w:jc w:val="right"/>
    </w:pPr>
    <w:r>
      <w:t>Ramy monitorowania edukacji włączającej, Serbia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23FF" w14:textId="57B55954" w:rsidR="00571295" w:rsidRDefault="00A03F2A">
    <w:pPr>
      <w:pStyle w:val="P68B1DB1-Normal10"/>
      <w:framePr w:wrap="around" w:vAnchor="text" w:hAnchor="margin" w:xAlign="outside" w:y="1"/>
      <w:jc w:val="right"/>
    </w:pPr>
    <w:r>
      <w:fldChar w:fldCharType="begin"/>
    </w:r>
    <w:r>
      <w:instrText xml:space="preserve">PAGE  </w:instrText>
    </w:r>
    <w:r>
      <w:fldChar w:fldCharType="separate"/>
    </w:r>
    <w:r>
      <w:t>11</w:t>
    </w:r>
    <w:r>
      <w:fldChar w:fldCharType="end"/>
    </w:r>
  </w:p>
  <w:p w14:paraId="2B73A14B" w14:textId="55B13320" w:rsidR="00571295" w:rsidRDefault="00A03F2A">
    <w:pPr>
      <w:pStyle w:val="Agency-footer"/>
    </w:pPr>
    <w:r>
      <w:t xml:space="preserve">SRSP Polska II </w:t>
    </w:r>
    <w:r w:rsidR="00564798">
      <w:t>–</w:t>
    </w:r>
    <w:r>
      <w:t xml:space="preserve"> PLA</w:t>
    </w:r>
    <w:r w:rsidR="00564798">
      <w:t xml:space="preserve"> </w:t>
    </w:r>
    <w:r w:rsidRPr="00564798">
      <w:t xml:space="preserve">14 </w:t>
    </w:r>
    <w:r>
      <w:t>lipca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70F3" w14:textId="77777777" w:rsidR="00B80118" w:rsidRDefault="00B80118">
      <w:r>
        <w:separator/>
      </w:r>
    </w:p>
  </w:footnote>
  <w:footnote w:type="continuationSeparator" w:id="0">
    <w:p w14:paraId="3E7384BA" w14:textId="77777777" w:rsidR="00B80118" w:rsidRDefault="00B80118">
      <w:r>
        <w:continuationSeparator/>
      </w:r>
    </w:p>
  </w:footnote>
  <w:footnote w:id="1">
    <w:p w14:paraId="2D2F2353" w14:textId="13B69420" w:rsidR="00571295" w:rsidRPr="00865665" w:rsidRDefault="00A03F2A">
      <w:pPr>
        <w:pStyle w:val="Heading2"/>
        <w:spacing w:before="0" w:after="0"/>
        <w:rPr>
          <w:rFonts w:ascii="Times New Roman" w:hAnsi="Times New Roman"/>
          <w:b w:val="0"/>
          <w:i w:val="0"/>
          <w:color w:val="000000"/>
          <w:sz w:val="20"/>
          <w:lang w:val="pl-PL"/>
        </w:rPr>
      </w:pPr>
      <w:r>
        <w:rPr>
          <w:rStyle w:val="FootnoteReference"/>
        </w:rPr>
        <w:footnoteRef/>
      </w:r>
      <w:r w:rsidRPr="00865665">
        <w:rPr>
          <w:rStyle w:val="jlqj4b"/>
          <w:rFonts w:ascii="Times New Roman" w:hAnsi="Times New Roman"/>
          <w:b w:val="0"/>
          <w:i w:val="0"/>
          <w:color w:val="000000"/>
          <w:sz w:val="20"/>
          <w:lang w:val="pl-PL"/>
        </w:rPr>
        <w:t>Monitorowanie i ocena stanu edukacji włączającej w Serbii</w:t>
      </w:r>
    </w:p>
    <w:p w14:paraId="06B4D8CA" w14:textId="4C2DEDC2" w:rsidR="00571295" w:rsidRPr="00865665" w:rsidRDefault="005B47E2">
      <w:pPr>
        <w:pStyle w:val="FootnoteText"/>
        <w:rPr>
          <w:lang w:val="pl-PL"/>
        </w:rPr>
      </w:pPr>
      <w:hyperlink r:id="rId1" w:history="1">
        <w:r w:rsidR="00A03F2A" w:rsidRPr="00865665">
          <w:rPr>
            <w:rStyle w:val="Hyperlink"/>
            <w:sz w:val="20"/>
            <w:lang w:val="pl-PL"/>
          </w:rPr>
          <w:t>http://www.dios.edu.rs/wp-content/uploads/2016/05/11.-Pra%C4%87enje-i-evaluacija-stanja-inkluzivnog-obrazovanja-u-Republici-Srbiji.pdf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AD19" w14:textId="77777777" w:rsidR="00571295" w:rsidRDefault="00A03F2A">
    <w:pPr>
      <w:jc w:val="center"/>
    </w:pPr>
    <w:r>
      <w:rPr>
        <w:noProof/>
      </w:rPr>
      <w:drawing>
        <wp:inline distT="0" distB="0" distL="0" distR="0" wp14:anchorId="6A3D5F24" wp14:editId="4F77CD61">
          <wp:extent cx="5672455" cy="474345"/>
          <wp:effectExtent l="0" t="0" r="0" b="8255"/>
          <wp:docPr id="6" name="Zdjęcie 7" descr="Header with Agency sun logo on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jęci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47B11" w14:textId="77777777" w:rsidR="00571295" w:rsidRDefault="0057129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91B4" w14:textId="77777777" w:rsidR="00571295" w:rsidRDefault="00A03F2A">
    <w:pPr>
      <w:jc w:val="center"/>
    </w:pPr>
    <w:r>
      <w:rPr>
        <w:noProof/>
      </w:rPr>
      <w:drawing>
        <wp:inline distT="0" distB="0" distL="0" distR="0" wp14:anchorId="420EF242" wp14:editId="527096A8">
          <wp:extent cx="5611495" cy="451485"/>
          <wp:effectExtent l="0" t="0" r="1905" b="5715"/>
          <wp:docPr id="8" name="Zdjęci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-r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C77D6" w14:textId="77777777" w:rsidR="00571295" w:rsidRDefault="005712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EB14" w14:textId="77777777" w:rsidR="00571295" w:rsidRDefault="00A03F2A">
    <w:pPr>
      <w:pStyle w:val="Header"/>
    </w:pPr>
    <w:r>
      <w:rPr>
        <w:noProof/>
      </w:rPr>
      <w:drawing>
        <wp:inline distT="0" distB="0" distL="0" distR="0" wp14:anchorId="44508C37" wp14:editId="611FE402">
          <wp:extent cx="5611495" cy="641350"/>
          <wp:effectExtent l="0" t="0" r="1905" b="6350"/>
          <wp:docPr id="1" name="Zdjęci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jęci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0A3"/>
    <w:multiLevelType w:val="hybridMultilevel"/>
    <w:tmpl w:val="5818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85D"/>
    <w:multiLevelType w:val="multilevel"/>
    <w:tmpl w:val="461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8079E"/>
    <w:multiLevelType w:val="hybridMultilevel"/>
    <w:tmpl w:val="F372FBE6"/>
    <w:lvl w:ilvl="0" w:tplc="08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0EA925B1"/>
    <w:multiLevelType w:val="hybridMultilevel"/>
    <w:tmpl w:val="45CE3CBA"/>
    <w:lvl w:ilvl="0" w:tplc="0C7A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8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9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89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4A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6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62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15250"/>
    <w:multiLevelType w:val="hybridMultilevel"/>
    <w:tmpl w:val="333CF634"/>
    <w:lvl w:ilvl="0" w:tplc="D102B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60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6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8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E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2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AA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2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944415"/>
    <w:multiLevelType w:val="hybridMultilevel"/>
    <w:tmpl w:val="51C8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79D9"/>
    <w:multiLevelType w:val="hybridMultilevel"/>
    <w:tmpl w:val="8632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568"/>
    <w:multiLevelType w:val="hybridMultilevel"/>
    <w:tmpl w:val="3BD6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C0D75"/>
    <w:multiLevelType w:val="hybridMultilevel"/>
    <w:tmpl w:val="0A44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576F"/>
    <w:multiLevelType w:val="hybridMultilevel"/>
    <w:tmpl w:val="F246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646"/>
    <w:multiLevelType w:val="hybridMultilevel"/>
    <w:tmpl w:val="FADE9C54"/>
    <w:lvl w:ilvl="0" w:tplc="D872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AB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0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8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2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C65A36"/>
    <w:multiLevelType w:val="hybridMultilevel"/>
    <w:tmpl w:val="01B4D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0688"/>
    <w:multiLevelType w:val="hybridMultilevel"/>
    <w:tmpl w:val="725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087E"/>
    <w:multiLevelType w:val="hybridMultilevel"/>
    <w:tmpl w:val="180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493"/>
    <w:multiLevelType w:val="hybridMultilevel"/>
    <w:tmpl w:val="5F70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F6A18"/>
    <w:multiLevelType w:val="hybridMultilevel"/>
    <w:tmpl w:val="C5329146"/>
    <w:lvl w:ilvl="0" w:tplc="D98EB3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64C21"/>
    <w:multiLevelType w:val="hybridMultilevel"/>
    <w:tmpl w:val="C7E4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0493"/>
    <w:multiLevelType w:val="hybridMultilevel"/>
    <w:tmpl w:val="3662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C3949"/>
    <w:multiLevelType w:val="hybridMultilevel"/>
    <w:tmpl w:val="ECE6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57FF"/>
    <w:multiLevelType w:val="hybridMultilevel"/>
    <w:tmpl w:val="8B38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D4273"/>
    <w:multiLevelType w:val="hybridMultilevel"/>
    <w:tmpl w:val="D29C6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4C3103"/>
    <w:multiLevelType w:val="hybridMultilevel"/>
    <w:tmpl w:val="DC3A193A"/>
    <w:lvl w:ilvl="0" w:tplc="35EA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8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1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36146FC"/>
    <w:multiLevelType w:val="hybridMultilevel"/>
    <w:tmpl w:val="E89E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53C94"/>
    <w:multiLevelType w:val="hybridMultilevel"/>
    <w:tmpl w:val="59E6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85B56"/>
    <w:multiLevelType w:val="hybridMultilevel"/>
    <w:tmpl w:val="73CC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D7FF6"/>
    <w:multiLevelType w:val="hybridMultilevel"/>
    <w:tmpl w:val="8F868F0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3B7D7A59"/>
    <w:multiLevelType w:val="hybridMultilevel"/>
    <w:tmpl w:val="F514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37606"/>
    <w:multiLevelType w:val="hybridMultilevel"/>
    <w:tmpl w:val="45CC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C6C0E"/>
    <w:multiLevelType w:val="hybridMultilevel"/>
    <w:tmpl w:val="4D58A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E7CEB"/>
    <w:multiLevelType w:val="hybridMultilevel"/>
    <w:tmpl w:val="4720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16331"/>
    <w:multiLevelType w:val="hybridMultilevel"/>
    <w:tmpl w:val="45B6E104"/>
    <w:lvl w:ilvl="0" w:tplc="DB6C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4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6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84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EB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2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2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6E4C29"/>
    <w:multiLevelType w:val="hybridMultilevel"/>
    <w:tmpl w:val="14B4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368FE"/>
    <w:multiLevelType w:val="hybridMultilevel"/>
    <w:tmpl w:val="4498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13E5C"/>
    <w:multiLevelType w:val="hybridMultilevel"/>
    <w:tmpl w:val="00D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45372"/>
    <w:multiLevelType w:val="hybridMultilevel"/>
    <w:tmpl w:val="0280506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6B66CF3"/>
    <w:multiLevelType w:val="hybridMultilevel"/>
    <w:tmpl w:val="F5D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543D9"/>
    <w:multiLevelType w:val="hybridMultilevel"/>
    <w:tmpl w:val="5576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7"/>
  </w:num>
  <w:num w:numId="6">
    <w:abstractNumId w:val="33"/>
  </w:num>
  <w:num w:numId="7">
    <w:abstractNumId w:val="16"/>
  </w:num>
  <w:num w:numId="8">
    <w:abstractNumId w:val="19"/>
  </w:num>
  <w:num w:numId="9">
    <w:abstractNumId w:val="35"/>
  </w:num>
  <w:num w:numId="10">
    <w:abstractNumId w:val="26"/>
  </w:num>
  <w:num w:numId="11">
    <w:abstractNumId w:val="34"/>
  </w:num>
  <w:num w:numId="12">
    <w:abstractNumId w:val="5"/>
  </w:num>
  <w:num w:numId="13">
    <w:abstractNumId w:val="14"/>
  </w:num>
  <w:num w:numId="14">
    <w:abstractNumId w:val="24"/>
  </w:num>
  <w:num w:numId="15">
    <w:abstractNumId w:val="3"/>
  </w:num>
  <w:num w:numId="16">
    <w:abstractNumId w:val="21"/>
  </w:num>
  <w:num w:numId="17">
    <w:abstractNumId w:val="10"/>
  </w:num>
  <w:num w:numId="18">
    <w:abstractNumId w:val="4"/>
  </w:num>
  <w:num w:numId="19">
    <w:abstractNumId w:val="30"/>
  </w:num>
  <w:num w:numId="20">
    <w:abstractNumId w:val="18"/>
  </w:num>
  <w:num w:numId="21">
    <w:abstractNumId w:val="31"/>
  </w:num>
  <w:num w:numId="22">
    <w:abstractNumId w:val="28"/>
  </w:num>
  <w:num w:numId="23">
    <w:abstractNumId w:val="8"/>
  </w:num>
  <w:num w:numId="24">
    <w:abstractNumId w:val="32"/>
  </w:num>
  <w:num w:numId="25">
    <w:abstractNumId w:val="20"/>
  </w:num>
  <w:num w:numId="26">
    <w:abstractNumId w:val="22"/>
  </w:num>
  <w:num w:numId="27">
    <w:abstractNumId w:val="29"/>
  </w:num>
  <w:num w:numId="28">
    <w:abstractNumId w:val="13"/>
  </w:num>
  <w:num w:numId="29">
    <w:abstractNumId w:val="27"/>
  </w:num>
  <w:num w:numId="30">
    <w:abstractNumId w:val="25"/>
  </w:num>
  <w:num w:numId="31">
    <w:abstractNumId w:val="1"/>
  </w:num>
  <w:num w:numId="32">
    <w:abstractNumId w:val="6"/>
  </w:num>
  <w:num w:numId="33">
    <w:abstractNumId w:val="12"/>
  </w:num>
  <w:num w:numId="34">
    <w:abstractNumId w:val="23"/>
  </w:num>
  <w:num w:numId="35">
    <w:abstractNumId w:val="11"/>
  </w:num>
  <w:num w:numId="36">
    <w:abstractNumId w:val="15"/>
  </w:num>
  <w:num w:numId="3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hideSpellingErrors/>
  <w:hideGrammaticalErrors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AB"/>
    <w:rsid w:val="0000380E"/>
    <w:rsid w:val="00004BB1"/>
    <w:rsid w:val="00005B63"/>
    <w:rsid w:val="00006A88"/>
    <w:rsid w:val="0001055C"/>
    <w:rsid w:val="00010657"/>
    <w:rsid w:val="00012F13"/>
    <w:rsid w:val="0001309F"/>
    <w:rsid w:val="000130F4"/>
    <w:rsid w:val="00014572"/>
    <w:rsid w:val="00015AFB"/>
    <w:rsid w:val="00015F6A"/>
    <w:rsid w:val="00016713"/>
    <w:rsid w:val="00016FC2"/>
    <w:rsid w:val="0001712C"/>
    <w:rsid w:val="000319C5"/>
    <w:rsid w:val="00031F10"/>
    <w:rsid w:val="00033ED4"/>
    <w:rsid w:val="00044656"/>
    <w:rsid w:val="0004652F"/>
    <w:rsid w:val="00051088"/>
    <w:rsid w:val="0005333C"/>
    <w:rsid w:val="000550D2"/>
    <w:rsid w:val="00056C1D"/>
    <w:rsid w:val="00057821"/>
    <w:rsid w:val="00062A11"/>
    <w:rsid w:val="0006485C"/>
    <w:rsid w:val="00064A4B"/>
    <w:rsid w:val="00064DEF"/>
    <w:rsid w:val="00066842"/>
    <w:rsid w:val="00067BCE"/>
    <w:rsid w:val="000728F8"/>
    <w:rsid w:val="000729BA"/>
    <w:rsid w:val="000731B5"/>
    <w:rsid w:val="000746BE"/>
    <w:rsid w:val="00075ACF"/>
    <w:rsid w:val="00084B2C"/>
    <w:rsid w:val="0008636C"/>
    <w:rsid w:val="00086AEA"/>
    <w:rsid w:val="00092675"/>
    <w:rsid w:val="00094A49"/>
    <w:rsid w:val="00096A3D"/>
    <w:rsid w:val="00097301"/>
    <w:rsid w:val="000A02D9"/>
    <w:rsid w:val="000A0EA3"/>
    <w:rsid w:val="000A3B02"/>
    <w:rsid w:val="000A595F"/>
    <w:rsid w:val="000A5EE7"/>
    <w:rsid w:val="000A649A"/>
    <w:rsid w:val="000A72A3"/>
    <w:rsid w:val="000B0A69"/>
    <w:rsid w:val="000B1F72"/>
    <w:rsid w:val="000B3A5E"/>
    <w:rsid w:val="000B4F5A"/>
    <w:rsid w:val="000B675A"/>
    <w:rsid w:val="000C1E2B"/>
    <w:rsid w:val="000C241F"/>
    <w:rsid w:val="000C3293"/>
    <w:rsid w:val="000C435D"/>
    <w:rsid w:val="000C64AD"/>
    <w:rsid w:val="000D1C9A"/>
    <w:rsid w:val="000E08E0"/>
    <w:rsid w:val="000E1AAE"/>
    <w:rsid w:val="000E3475"/>
    <w:rsid w:val="000E4E04"/>
    <w:rsid w:val="000E7F25"/>
    <w:rsid w:val="000F1261"/>
    <w:rsid w:val="000F5106"/>
    <w:rsid w:val="00101CFD"/>
    <w:rsid w:val="001025BA"/>
    <w:rsid w:val="001031C2"/>
    <w:rsid w:val="0011024A"/>
    <w:rsid w:val="001174B0"/>
    <w:rsid w:val="00120009"/>
    <w:rsid w:val="001203DA"/>
    <w:rsid w:val="001258C2"/>
    <w:rsid w:val="00125AEB"/>
    <w:rsid w:val="00126468"/>
    <w:rsid w:val="001279AA"/>
    <w:rsid w:val="0013069F"/>
    <w:rsid w:val="00131C83"/>
    <w:rsid w:val="00134492"/>
    <w:rsid w:val="00137A44"/>
    <w:rsid w:val="001415AF"/>
    <w:rsid w:val="00142939"/>
    <w:rsid w:val="001430CC"/>
    <w:rsid w:val="00144548"/>
    <w:rsid w:val="00144841"/>
    <w:rsid w:val="00160C89"/>
    <w:rsid w:val="00173091"/>
    <w:rsid w:val="00173415"/>
    <w:rsid w:val="0017452F"/>
    <w:rsid w:val="00174821"/>
    <w:rsid w:val="00175D44"/>
    <w:rsid w:val="00184950"/>
    <w:rsid w:val="0019411A"/>
    <w:rsid w:val="00194238"/>
    <w:rsid w:val="001A2133"/>
    <w:rsid w:val="001A3554"/>
    <w:rsid w:val="001A4D7F"/>
    <w:rsid w:val="001A6515"/>
    <w:rsid w:val="001B2E00"/>
    <w:rsid w:val="001B425D"/>
    <w:rsid w:val="001B4828"/>
    <w:rsid w:val="001B78D2"/>
    <w:rsid w:val="001C047C"/>
    <w:rsid w:val="001C22E6"/>
    <w:rsid w:val="001C47A6"/>
    <w:rsid w:val="001C6306"/>
    <w:rsid w:val="001C79F0"/>
    <w:rsid w:val="001D35E6"/>
    <w:rsid w:val="001D3CC9"/>
    <w:rsid w:val="001D4A74"/>
    <w:rsid w:val="001D4DBA"/>
    <w:rsid w:val="001E4A40"/>
    <w:rsid w:val="001E4BAE"/>
    <w:rsid w:val="001F33B6"/>
    <w:rsid w:val="001F3864"/>
    <w:rsid w:val="001F771B"/>
    <w:rsid w:val="00201F2E"/>
    <w:rsid w:val="00202BA8"/>
    <w:rsid w:val="00202CB8"/>
    <w:rsid w:val="00202F49"/>
    <w:rsid w:val="002051E8"/>
    <w:rsid w:val="002064F1"/>
    <w:rsid w:val="00206A74"/>
    <w:rsid w:val="00207911"/>
    <w:rsid w:val="002117AB"/>
    <w:rsid w:val="002117B0"/>
    <w:rsid w:val="002224DC"/>
    <w:rsid w:val="0022276E"/>
    <w:rsid w:val="00222940"/>
    <w:rsid w:val="00226874"/>
    <w:rsid w:val="00227701"/>
    <w:rsid w:val="00231601"/>
    <w:rsid w:val="00232FAA"/>
    <w:rsid w:val="0023468E"/>
    <w:rsid w:val="00234773"/>
    <w:rsid w:val="0024081D"/>
    <w:rsid w:val="00241519"/>
    <w:rsid w:val="002450F6"/>
    <w:rsid w:val="00247A39"/>
    <w:rsid w:val="00251206"/>
    <w:rsid w:val="00260E9D"/>
    <w:rsid w:val="00264617"/>
    <w:rsid w:val="00267192"/>
    <w:rsid w:val="002671F6"/>
    <w:rsid w:val="002726DF"/>
    <w:rsid w:val="00280864"/>
    <w:rsid w:val="00280F59"/>
    <w:rsid w:val="002829D7"/>
    <w:rsid w:val="00282C87"/>
    <w:rsid w:val="00282DCD"/>
    <w:rsid w:val="00284E98"/>
    <w:rsid w:val="00285241"/>
    <w:rsid w:val="002856F7"/>
    <w:rsid w:val="002A1D2B"/>
    <w:rsid w:val="002A31EF"/>
    <w:rsid w:val="002A3ED0"/>
    <w:rsid w:val="002A526F"/>
    <w:rsid w:val="002A6E4F"/>
    <w:rsid w:val="002A7E7D"/>
    <w:rsid w:val="002B4D03"/>
    <w:rsid w:val="002B501F"/>
    <w:rsid w:val="002B5D1D"/>
    <w:rsid w:val="002B76FB"/>
    <w:rsid w:val="002C4A19"/>
    <w:rsid w:val="002C572B"/>
    <w:rsid w:val="002C5923"/>
    <w:rsid w:val="002C6890"/>
    <w:rsid w:val="002D4138"/>
    <w:rsid w:val="002D53C5"/>
    <w:rsid w:val="003008BF"/>
    <w:rsid w:val="00303E34"/>
    <w:rsid w:val="00305644"/>
    <w:rsid w:val="00305C6C"/>
    <w:rsid w:val="003101C9"/>
    <w:rsid w:val="00310724"/>
    <w:rsid w:val="003131FC"/>
    <w:rsid w:val="003145EB"/>
    <w:rsid w:val="00314EBB"/>
    <w:rsid w:val="00317C60"/>
    <w:rsid w:val="0032083B"/>
    <w:rsid w:val="003216B2"/>
    <w:rsid w:val="00322AD6"/>
    <w:rsid w:val="00326E47"/>
    <w:rsid w:val="003364D2"/>
    <w:rsid w:val="00336F22"/>
    <w:rsid w:val="00345563"/>
    <w:rsid w:val="003469E4"/>
    <w:rsid w:val="003477B4"/>
    <w:rsid w:val="00351B55"/>
    <w:rsid w:val="00352DEC"/>
    <w:rsid w:val="00356C1D"/>
    <w:rsid w:val="00362946"/>
    <w:rsid w:val="00364CF1"/>
    <w:rsid w:val="003652DB"/>
    <w:rsid w:val="003658EF"/>
    <w:rsid w:val="003755FF"/>
    <w:rsid w:val="00382CFD"/>
    <w:rsid w:val="0038308F"/>
    <w:rsid w:val="00383BFF"/>
    <w:rsid w:val="00387EAE"/>
    <w:rsid w:val="00395482"/>
    <w:rsid w:val="003959BD"/>
    <w:rsid w:val="00395CAB"/>
    <w:rsid w:val="0039685A"/>
    <w:rsid w:val="00396B78"/>
    <w:rsid w:val="003A3601"/>
    <w:rsid w:val="003A508D"/>
    <w:rsid w:val="003A7F7B"/>
    <w:rsid w:val="003C15A9"/>
    <w:rsid w:val="003C1793"/>
    <w:rsid w:val="003C1DED"/>
    <w:rsid w:val="003C1E13"/>
    <w:rsid w:val="003C4952"/>
    <w:rsid w:val="003C6224"/>
    <w:rsid w:val="003D1C85"/>
    <w:rsid w:val="003D38D8"/>
    <w:rsid w:val="003D4B50"/>
    <w:rsid w:val="003E03F2"/>
    <w:rsid w:val="003E0732"/>
    <w:rsid w:val="003E0FE8"/>
    <w:rsid w:val="003E1AC9"/>
    <w:rsid w:val="003E1E87"/>
    <w:rsid w:val="003E2FE6"/>
    <w:rsid w:val="003E7B79"/>
    <w:rsid w:val="003F0709"/>
    <w:rsid w:val="003F30EA"/>
    <w:rsid w:val="003F3B14"/>
    <w:rsid w:val="003F63BD"/>
    <w:rsid w:val="00402498"/>
    <w:rsid w:val="00403298"/>
    <w:rsid w:val="00404B80"/>
    <w:rsid w:val="00405E01"/>
    <w:rsid w:val="00412E83"/>
    <w:rsid w:val="004130CD"/>
    <w:rsid w:val="00413671"/>
    <w:rsid w:val="00415449"/>
    <w:rsid w:val="00417C92"/>
    <w:rsid w:val="00421675"/>
    <w:rsid w:val="00422E19"/>
    <w:rsid w:val="00423D6C"/>
    <w:rsid w:val="00426CD2"/>
    <w:rsid w:val="00426D35"/>
    <w:rsid w:val="00430058"/>
    <w:rsid w:val="00430512"/>
    <w:rsid w:val="00430CE0"/>
    <w:rsid w:val="0043296C"/>
    <w:rsid w:val="00435D26"/>
    <w:rsid w:val="00436104"/>
    <w:rsid w:val="00437E5A"/>
    <w:rsid w:val="00441789"/>
    <w:rsid w:val="00446F78"/>
    <w:rsid w:val="0045391C"/>
    <w:rsid w:val="00457FBD"/>
    <w:rsid w:val="00465A93"/>
    <w:rsid w:val="0047466E"/>
    <w:rsid w:val="00477B70"/>
    <w:rsid w:val="00480533"/>
    <w:rsid w:val="00480F6E"/>
    <w:rsid w:val="00480FF6"/>
    <w:rsid w:val="00484C87"/>
    <w:rsid w:val="00487997"/>
    <w:rsid w:val="00491480"/>
    <w:rsid w:val="00491F23"/>
    <w:rsid w:val="00492921"/>
    <w:rsid w:val="00494F5B"/>
    <w:rsid w:val="0049734D"/>
    <w:rsid w:val="004975D8"/>
    <w:rsid w:val="004A2218"/>
    <w:rsid w:val="004A6652"/>
    <w:rsid w:val="004B31BB"/>
    <w:rsid w:val="004B7CAF"/>
    <w:rsid w:val="004C177C"/>
    <w:rsid w:val="004C46F3"/>
    <w:rsid w:val="004C66A9"/>
    <w:rsid w:val="004C7CCA"/>
    <w:rsid w:val="004D2236"/>
    <w:rsid w:val="004D2AA3"/>
    <w:rsid w:val="004D3BF2"/>
    <w:rsid w:val="004D3ED1"/>
    <w:rsid w:val="004D4A30"/>
    <w:rsid w:val="004D6A81"/>
    <w:rsid w:val="004E043A"/>
    <w:rsid w:val="004E0D96"/>
    <w:rsid w:val="004E0E3A"/>
    <w:rsid w:val="004E214C"/>
    <w:rsid w:val="004E6404"/>
    <w:rsid w:val="004F0CE5"/>
    <w:rsid w:val="004F1F55"/>
    <w:rsid w:val="004F4E54"/>
    <w:rsid w:val="004F50FE"/>
    <w:rsid w:val="004F74C2"/>
    <w:rsid w:val="00501B2E"/>
    <w:rsid w:val="00510735"/>
    <w:rsid w:val="00512EC1"/>
    <w:rsid w:val="00513D90"/>
    <w:rsid w:val="00525606"/>
    <w:rsid w:val="0052603B"/>
    <w:rsid w:val="005307AD"/>
    <w:rsid w:val="005316D2"/>
    <w:rsid w:val="00534B48"/>
    <w:rsid w:val="00534F80"/>
    <w:rsid w:val="0053781E"/>
    <w:rsid w:val="00540708"/>
    <w:rsid w:val="00540D99"/>
    <w:rsid w:val="005420D0"/>
    <w:rsid w:val="00546082"/>
    <w:rsid w:val="00555E51"/>
    <w:rsid w:val="00564356"/>
    <w:rsid w:val="00564798"/>
    <w:rsid w:val="00565B44"/>
    <w:rsid w:val="00566D0D"/>
    <w:rsid w:val="005706DF"/>
    <w:rsid w:val="005708E2"/>
    <w:rsid w:val="00571295"/>
    <w:rsid w:val="00572F13"/>
    <w:rsid w:val="00573C45"/>
    <w:rsid w:val="00575AEA"/>
    <w:rsid w:val="00586D63"/>
    <w:rsid w:val="005962A8"/>
    <w:rsid w:val="005971D5"/>
    <w:rsid w:val="005A054F"/>
    <w:rsid w:val="005A2BFC"/>
    <w:rsid w:val="005A526E"/>
    <w:rsid w:val="005A5B6E"/>
    <w:rsid w:val="005B0AA4"/>
    <w:rsid w:val="005B161A"/>
    <w:rsid w:val="005B47E2"/>
    <w:rsid w:val="005B5561"/>
    <w:rsid w:val="005B6094"/>
    <w:rsid w:val="005C1C45"/>
    <w:rsid w:val="005C2209"/>
    <w:rsid w:val="005C3750"/>
    <w:rsid w:val="005C3D43"/>
    <w:rsid w:val="005C3F5A"/>
    <w:rsid w:val="005C5E5B"/>
    <w:rsid w:val="005C6790"/>
    <w:rsid w:val="005C6F09"/>
    <w:rsid w:val="005C72D4"/>
    <w:rsid w:val="005D5236"/>
    <w:rsid w:val="005D5C15"/>
    <w:rsid w:val="005D7703"/>
    <w:rsid w:val="005D7F55"/>
    <w:rsid w:val="005E093F"/>
    <w:rsid w:val="005E166B"/>
    <w:rsid w:val="005E2964"/>
    <w:rsid w:val="005F1883"/>
    <w:rsid w:val="005F25F8"/>
    <w:rsid w:val="005F3A33"/>
    <w:rsid w:val="005F7B30"/>
    <w:rsid w:val="006007F5"/>
    <w:rsid w:val="00602A70"/>
    <w:rsid w:val="00604D51"/>
    <w:rsid w:val="00607642"/>
    <w:rsid w:val="006119FF"/>
    <w:rsid w:val="00615F30"/>
    <w:rsid w:val="006174F0"/>
    <w:rsid w:val="00624266"/>
    <w:rsid w:val="00624A80"/>
    <w:rsid w:val="006250EF"/>
    <w:rsid w:val="00625C72"/>
    <w:rsid w:val="006267B0"/>
    <w:rsid w:val="00626FBA"/>
    <w:rsid w:val="00630271"/>
    <w:rsid w:val="00631A2F"/>
    <w:rsid w:val="0063254C"/>
    <w:rsid w:val="006334B8"/>
    <w:rsid w:val="006435C7"/>
    <w:rsid w:val="0064607D"/>
    <w:rsid w:val="00646C24"/>
    <w:rsid w:val="0064738A"/>
    <w:rsid w:val="00652129"/>
    <w:rsid w:val="0065367D"/>
    <w:rsid w:val="006607FC"/>
    <w:rsid w:val="00663C68"/>
    <w:rsid w:val="00664D08"/>
    <w:rsid w:val="0066512C"/>
    <w:rsid w:val="00665283"/>
    <w:rsid w:val="00667788"/>
    <w:rsid w:val="00671077"/>
    <w:rsid w:val="00671CB3"/>
    <w:rsid w:val="00676D26"/>
    <w:rsid w:val="00682D54"/>
    <w:rsid w:val="0068553C"/>
    <w:rsid w:val="006872F5"/>
    <w:rsid w:val="00690608"/>
    <w:rsid w:val="00691B8A"/>
    <w:rsid w:val="00693AAD"/>
    <w:rsid w:val="00697889"/>
    <w:rsid w:val="006A0DF4"/>
    <w:rsid w:val="006A0E5E"/>
    <w:rsid w:val="006A2298"/>
    <w:rsid w:val="006A2331"/>
    <w:rsid w:val="006A426A"/>
    <w:rsid w:val="006B178C"/>
    <w:rsid w:val="006B4A81"/>
    <w:rsid w:val="006B708E"/>
    <w:rsid w:val="006B7D50"/>
    <w:rsid w:val="006C4291"/>
    <w:rsid w:val="006D149F"/>
    <w:rsid w:val="006D4B89"/>
    <w:rsid w:val="006D6898"/>
    <w:rsid w:val="006E5FDC"/>
    <w:rsid w:val="006F3F40"/>
    <w:rsid w:val="006F749F"/>
    <w:rsid w:val="007008AB"/>
    <w:rsid w:val="00706FAB"/>
    <w:rsid w:val="00710A4C"/>
    <w:rsid w:val="00710E84"/>
    <w:rsid w:val="00712591"/>
    <w:rsid w:val="00714B9A"/>
    <w:rsid w:val="00717A46"/>
    <w:rsid w:val="00726FA9"/>
    <w:rsid w:val="00730CF3"/>
    <w:rsid w:val="007322ED"/>
    <w:rsid w:val="0073499D"/>
    <w:rsid w:val="007357CF"/>
    <w:rsid w:val="00742BC6"/>
    <w:rsid w:val="00742CEF"/>
    <w:rsid w:val="00744966"/>
    <w:rsid w:val="00746006"/>
    <w:rsid w:val="007469E0"/>
    <w:rsid w:val="00746E98"/>
    <w:rsid w:val="00750CAD"/>
    <w:rsid w:val="00756CB8"/>
    <w:rsid w:val="00760B6A"/>
    <w:rsid w:val="007623C6"/>
    <w:rsid w:val="00762A6A"/>
    <w:rsid w:val="00763FBB"/>
    <w:rsid w:val="00764817"/>
    <w:rsid w:val="0076670E"/>
    <w:rsid w:val="00775A1D"/>
    <w:rsid w:val="007764AE"/>
    <w:rsid w:val="007764B0"/>
    <w:rsid w:val="0077754C"/>
    <w:rsid w:val="00782218"/>
    <w:rsid w:val="00782E16"/>
    <w:rsid w:val="00783294"/>
    <w:rsid w:val="00784323"/>
    <w:rsid w:val="007863B8"/>
    <w:rsid w:val="007879BF"/>
    <w:rsid w:val="00793C83"/>
    <w:rsid w:val="007948AD"/>
    <w:rsid w:val="007952A1"/>
    <w:rsid w:val="007A0D0A"/>
    <w:rsid w:val="007A4520"/>
    <w:rsid w:val="007A5894"/>
    <w:rsid w:val="007B2F63"/>
    <w:rsid w:val="007B537C"/>
    <w:rsid w:val="007B5885"/>
    <w:rsid w:val="007B6248"/>
    <w:rsid w:val="007B72B0"/>
    <w:rsid w:val="007C2489"/>
    <w:rsid w:val="007C24C1"/>
    <w:rsid w:val="007C6A77"/>
    <w:rsid w:val="007D4D30"/>
    <w:rsid w:val="007D5993"/>
    <w:rsid w:val="007E06BA"/>
    <w:rsid w:val="007E0B47"/>
    <w:rsid w:val="007E22DA"/>
    <w:rsid w:val="007E7BB1"/>
    <w:rsid w:val="007F00FC"/>
    <w:rsid w:val="007F0304"/>
    <w:rsid w:val="007F23A2"/>
    <w:rsid w:val="007F281A"/>
    <w:rsid w:val="007F3F23"/>
    <w:rsid w:val="00803A04"/>
    <w:rsid w:val="008149EA"/>
    <w:rsid w:val="00823666"/>
    <w:rsid w:val="00824B91"/>
    <w:rsid w:val="00825545"/>
    <w:rsid w:val="00825E6D"/>
    <w:rsid w:val="00826AB4"/>
    <w:rsid w:val="008308F3"/>
    <w:rsid w:val="00833429"/>
    <w:rsid w:val="0083452F"/>
    <w:rsid w:val="00836D20"/>
    <w:rsid w:val="00837C4A"/>
    <w:rsid w:val="0084141C"/>
    <w:rsid w:val="00841EEB"/>
    <w:rsid w:val="00842759"/>
    <w:rsid w:val="00843AE7"/>
    <w:rsid w:val="00845E0E"/>
    <w:rsid w:val="008476EE"/>
    <w:rsid w:val="00850A08"/>
    <w:rsid w:val="008514DF"/>
    <w:rsid w:val="00853963"/>
    <w:rsid w:val="00853E22"/>
    <w:rsid w:val="00856DD3"/>
    <w:rsid w:val="00857EEF"/>
    <w:rsid w:val="00860CB5"/>
    <w:rsid w:val="00862916"/>
    <w:rsid w:val="00865665"/>
    <w:rsid w:val="008669CF"/>
    <w:rsid w:val="0086768F"/>
    <w:rsid w:val="00870BD5"/>
    <w:rsid w:val="008732B9"/>
    <w:rsid w:val="00873984"/>
    <w:rsid w:val="00876618"/>
    <w:rsid w:val="00884B7B"/>
    <w:rsid w:val="00884BD9"/>
    <w:rsid w:val="00885720"/>
    <w:rsid w:val="008859DE"/>
    <w:rsid w:val="00887E81"/>
    <w:rsid w:val="0089012E"/>
    <w:rsid w:val="008902CE"/>
    <w:rsid w:val="00893151"/>
    <w:rsid w:val="0089408B"/>
    <w:rsid w:val="00897B01"/>
    <w:rsid w:val="008A1C01"/>
    <w:rsid w:val="008A2889"/>
    <w:rsid w:val="008A656A"/>
    <w:rsid w:val="008A6606"/>
    <w:rsid w:val="008A7204"/>
    <w:rsid w:val="008B1F90"/>
    <w:rsid w:val="008B2C08"/>
    <w:rsid w:val="008B3CAA"/>
    <w:rsid w:val="008B3E5B"/>
    <w:rsid w:val="008B4D3A"/>
    <w:rsid w:val="008B568A"/>
    <w:rsid w:val="008B582D"/>
    <w:rsid w:val="008B5D08"/>
    <w:rsid w:val="008B6741"/>
    <w:rsid w:val="008B76C7"/>
    <w:rsid w:val="008C07FC"/>
    <w:rsid w:val="008C1686"/>
    <w:rsid w:val="008C3498"/>
    <w:rsid w:val="008C49D4"/>
    <w:rsid w:val="008C5ECE"/>
    <w:rsid w:val="008D080A"/>
    <w:rsid w:val="008D1DD1"/>
    <w:rsid w:val="008D362A"/>
    <w:rsid w:val="008D4BC1"/>
    <w:rsid w:val="008E2739"/>
    <w:rsid w:val="008E45A4"/>
    <w:rsid w:val="008F004A"/>
    <w:rsid w:val="008F04DB"/>
    <w:rsid w:val="008F4AEB"/>
    <w:rsid w:val="00901D80"/>
    <w:rsid w:val="009059D1"/>
    <w:rsid w:val="00911BD8"/>
    <w:rsid w:val="00913AF7"/>
    <w:rsid w:val="00913E05"/>
    <w:rsid w:val="00921946"/>
    <w:rsid w:val="00933B0D"/>
    <w:rsid w:val="00937204"/>
    <w:rsid w:val="00950976"/>
    <w:rsid w:val="009525EB"/>
    <w:rsid w:val="009539AA"/>
    <w:rsid w:val="00953B96"/>
    <w:rsid w:val="00961A35"/>
    <w:rsid w:val="0096283A"/>
    <w:rsid w:val="0096530F"/>
    <w:rsid w:val="009664C9"/>
    <w:rsid w:val="00971CAB"/>
    <w:rsid w:val="009724A5"/>
    <w:rsid w:val="00976592"/>
    <w:rsid w:val="009805DB"/>
    <w:rsid w:val="00981922"/>
    <w:rsid w:val="00983A41"/>
    <w:rsid w:val="00985F2A"/>
    <w:rsid w:val="00990941"/>
    <w:rsid w:val="00990E61"/>
    <w:rsid w:val="009943DF"/>
    <w:rsid w:val="00994AD9"/>
    <w:rsid w:val="00994BE1"/>
    <w:rsid w:val="0099691A"/>
    <w:rsid w:val="009A1F7E"/>
    <w:rsid w:val="009A2223"/>
    <w:rsid w:val="009A440A"/>
    <w:rsid w:val="009A5566"/>
    <w:rsid w:val="009B0507"/>
    <w:rsid w:val="009B1515"/>
    <w:rsid w:val="009B5503"/>
    <w:rsid w:val="009B5A48"/>
    <w:rsid w:val="009C01DD"/>
    <w:rsid w:val="009C0857"/>
    <w:rsid w:val="009C2153"/>
    <w:rsid w:val="009C268C"/>
    <w:rsid w:val="009C3190"/>
    <w:rsid w:val="009D05E2"/>
    <w:rsid w:val="009D3D6A"/>
    <w:rsid w:val="009D7CBB"/>
    <w:rsid w:val="009E0CB9"/>
    <w:rsid w:val="009E199E"/>
    <w:rsid w:val="009E3417"/>
    <w:rsid w:val="009E5766"/>
    <w:rsid w:val="009E6E4D"/>
    <w:rsid w:val="009F00D6"/>
    <w:rsid w:val="009F36A1"/>
    <w:rsid w:val="009F5337"/>
    <w:rsid w:val="009F622B"/>
    <w:rsid w:val="009F7DCF"/>
    <w:rsid w:val="00A01542"/>
    <w:rsid w:val="00A0251B"/>
    <w:rsid w:val="00A02B29"/>
    <w:rsid w:val="00A02D98"/>
    <w:rsid w:val="00A03B63"/>
    <w:rsid w:val="00A03F2A"/>
    <w:rsid w:val="00A05A9A"/>
    <w:rsid w:val="00A07697"/>
    <w:rsid w:val="00A07F05"/>
    <w:rsid w:val="00A10E15"/>
    <w:rsid w:val="00A13907"/>
    <w:rsid w:val="00A155B3"/>
    <w:rsid w:val="00A1788F"/>
    <w:rsid w:val="00A205E1"/>
    <w:rsid w:val="00A229DD"/>
    <w:rsid w:val="00A2487B"/>
    <w:rsid w:val="00A26334"/>
    <w:rsid w:val="00A277BD"/>
    <w:rsid w:val="00A30732"/>
    <w:rsid w:val="00A35DA1"/>
    <w:rsid w:val="00A37D78"/>
    <w:rsid w:val="00A40F19"/>
    <w:rsid w:val="00A426CE"/>
    <w:rsid w:val="00A5041B"/>
    <w:rsid w:val="00A50540"/>
    <w:rsid w:val="00A51C2E"/>
    <w:rsid w:val="00A52029"/>
    <w:rsid w:val="00A53BC4"/>
    <w:rsid w:val="00A54FB2"/>
    <w:rsid w:val="00A55530"/>
    <w:rsid w:val="00A57696"/>
    <w:rsid w:val="00A61BA1"/>
    <w:rsid w:val="00A61E90"/>
    <w:rsid w:val="00A6211D"/>
    <w:rsid w:val="00A6375C"/>
    <w:rsid w:val="00A63FC9"/>
    <w:rsid w:val="00A64360"/>
    <w:rsid w:val="00A64599"/>
    <w:rsid w:val="00A739FE"/>
    <w:rsid w:val="00A770D7"/>
    <w:rsid w:val="00A77C7F"/>
    <w:rsid w:val="00A8402E"/>
    <w:rsid w:val="00A9106F"/>
    <w:rsid w:val="00A9163F"/>
    <w:rsid w:val="00A940EF"/>
    <w:rsid w:val="00A95328"/>
    <w:rsid w:val="00A9561E"/>
    <w:rsid w:val="00A97FA0"/>
    <w:rsid w:val="00AA371B"/>
    <w:rsid w:val="00AA4435"/>
    <w:rsid w:val="00AA48B0"/>
    <w:rsid w:val="00AA5BDA"/>
    <w:rsid w:val="00AB04BC"/>
    <w:rsid w:val="00AB2820"/>
    <w:rsid w:val="00AB496C"/>
    <w:rsid w:val="00AC0E47"/>
    <w:rsid w:val="00AC198A"/>
    <w:rsid w:val="00AC3EDD"/>
    <w:rsid w:val="00AC5EA0"/>
    <w:rsid w:val="00AC5EB4"/>
    <w:rsid w:val="00AD2926"/>
    <w:rsid w:val="00AD5581"/>
    <w:rsid w:val="00AE0B05"/>
    <w:rsid w:val="00AE2EF5"/>
    <w:rsid w:val="00AE413B"/>
    <w:rsid w:val="00AE4E7A"/>
    <w:rsid w:val="00AF1FC1"/>
    <w:rsid w:val="00AF48DC"/>
    <w:rsid w:val="00B0113D"/>
    <w:rsid w:val="00B072A5"/>
    <w:rsid w:val="00B11E0C"/>
    <w:rsid w:val="00B1226E"/>
    <w:rsid w:val="00B15C82"/>
    <w:rsid w:val="00B161A9"/>
    <w:rsid w:val="00B1789A"/>
    <w:rsid w:val="00B2128C"/>
    <w:rsid w:val="00B23A4C"/>
    <w:rsid w:val="00B30BAA"/>
    <w:rsid w:val="00B34231"/>
    <w:rsid w:val="00B36451"/>
    <w:rsid w:val="00B43C96"/>
    <w:rsid w:val="00B457C0"/>
    <w:rsid w:val="00B45B3A"/>
    <w:rsid w:val="00B45CAB"/>
    <w:rsid w:val="00B521C9"/>
    <w:rsid w:val="00B53C24"/>
    <w:rsid w:val="00B552C8"/>
    <w:rsid w:val="00B57D27"/>
    <w:rsid w:val="00B606E1"/>
    <w:rsid w:val="00B661C6"/>
    <w:rsid w:val="00B6755F"/>
    <w:rsid w:val="00B679CD"/>
    <w:rsid w:val="00B70383"/>
    <w:rsid w:val="00B778BC"/>
    <w:rsid w:val="00B80118"/>
    <w:rsid w:val="00B85C80"/>
    <w:rsid w:val="00B87361"/>
    <w:rsid w:val="00B877BC"/>
    <w:rsid w:val="00B87E0E"/>
    <w:rsid w:val="00B87E32"/>
    <w:rsid w:val="00B91E5A"/>
    <w:rsid w:val="00B92015"/>
    <w:rsid w:val="00B9303D"/>
    <w:rsid w:val="00B96718"/>
    <w:rsid w:val="00BA1160"/>
    <w:rsid w:val="00BA24ED"/>
    <w:rsid w:val="00BA4C0E"/>
    <w:rsid w:val="00BA4D90"/>
    <w:rsid w:val="00BA5633"/>
    <w:rsid w:val="00BA5D43"/>
    <w:rsid w:val="00BA7F4E"/>
    <w:rsid w:val="00BB097D"/>
    <w:rsid w:val="00BB2C1D"/>
    <w:rsid w:val="00BB5176"/>
    <w:rsid w:val="00BB5713"/>
    <w:rsid w:val="00BB5E33"/>
    <w:rsid w:val="00BB6A9B"/>
    <w:rsid w:val="00BB7337"/>
    <w:rsid w:val="00BC24C9"/>
    <w:rsid w:val="00BD23BB"/>
    <w:rsid w:val="00BD4C5D"/>
    <w:rsid w:val="00BE000E"/>
    <w:rsid w:val="00BE0530"/>
    <w:rsid w:val="00BE1356"/>
    <w:rsid w:val="00BE4328"/>
    <w:rsid w:val="00BE50BC"/>
    <w:rsid w:val="00BE6039"/>
    <w:rsid w:val="00BE7011"/>
    <w:rsid w:val="00BE7848"/>
    <w:rsid w:val="00BF13BA"/>
    <w:rsid w:val="00BF4B87"/>
    <w:rsid w:val="00BF6116"/>
    <w:rsid w:val="00BF63C4"/>
    <w:rsid w:val="00C00110"/>
    <w:rsid w:val="00C0082A"/>
    <w:rsid w:val="00C03864"/>
    <w:rsid w:val="00C0559F"/>
    <w:rsid w:val="00C06A22"/>
    <w:rsid w:val="00C07F36"/>
    <w:rsid w:val="00C152DE"/>
    <w:rsid w:val="00C15F02"/>
    <w:rsid w:val="00C20B2A"/>
    <w:rsid w:val="00C273BC"/>
    <w:rsid w:val="00C27E7B"/>
    <w:rsid w:val="00C321DD"/>
    <w:rsid w:val="00C321E3"/>
    <w:rsid w:val="00C3242C"/>
    <w:rsid w:val="00C33A86"/>
    <w:rsid w:val="00C33A88"/>
    <w:rsid w:val="00C413E9"/>
    <w:rsid w:val="00C41F0E"/>
    <w:rsid w:val="00C42818"/>
    <w:rsid w:val="00C43F70"/>
    <w:rsid w:val="00C45A02"/>
    <w:rsid w:val="00C467CE"/>
    <w:rsid w:val="00C52E8B"/>
    <w:rsid w:val="00C53729"/>
    <w:rsid w:val="00C53EA8"/>
    <w:rsid w:val="00C54627"/>
    <w:rsid w:val="00C57CE9"/>
    <w:rsid w:val="00C63DB3"/>
    <w:rsid w:val="00C63E7A"/>
    <w:rsid w:val="00C65448"/>
    <w:rsid w:val="00C710B4"/>
    <w:rsid w:val="00C72945"/>
    <w:rsid w:val="00C73A4B"/>
    <w:rsid w:val="00C73D55"/>
    <w:rsid w:val="00C745E0"/>
    <w:rsid w:val="00C8081F"/>
    <w:rsid w:val="00C80FE5"/>
    <w:rsid w:val="00C83AE8"/>
    <w:rsid w:val="00C94196"/>
    <w:rsid w:val="00C970C2"/>
    <w:rsid w:val="00CA051E"/>
    <w:rsid w:val="00CA3F63"/>
    <w:rsid w:val="00CA58F5"/>
    <w:rsid w:val="00CA63C1"/>
    <w:rsid w:val="00CA6F73"/>
    <w:rsid w:val="00CB3D6E"/>
    <w:rsid w:val="00CB57EC"/>
    <w:rsid w:val="00CB7361"/>
    <w:rsid w:val="00CB7C13"/>
    <w:rsid w:val="00CC42A6"/>
    <w:rsid w:val="00CC6AE3"/>
    <w:rsid w:val="00CC77C9"/>
    <w:rsid w:val="00CD3077"/>
    <w:rsid w:val="00CD3EBA"/>
    <w:rsid w:val="00CD42CD"/>
    <w:rsid w:val="00CD6E69"/>
    <w:rsid w:val="00CE05FB"/>
    <w:rsid w:val="00CE1698"/>
    <w:rsid w:val="00CE173C"/>
    <w:rsid w:val="00CE1A01"/>
    <w:rsid w:val="00CE4B5F"/>
    <w:rsid w:val="00CE7EC3"/>
    <w:rsid w:val="00CF128B"/>
    <w:rsid w:val="00D00365"/>
    <w:rsid w:val="00D017AE"/>
    <w:rsid w:val="00D0236D"/>
    <w:rsid w:val="00D0363D"/>
    <w:rsid w:val="00D040F7"/>
    <w:rsid w:val="00D05F85"/>
    <w:rsid w:val="00D06099"/>
    <w:rsid w:val="00D110F6"/>
    <w:rsid w:val="00D1218A"/>
    <w:rsid w:val="00D123D1"/>
    <w:rsid w:val="00D1582E"/>
    <w:rsid w:val="00D15A56"/>
    <w:rsid w:val="00D20048"/>
    <w:rsid w:val="00D213C0"/>
    <w:rsid w:val="00D25C1B"/>
    <w:rsid w:val="00D30A72"/>
    <w:rsid w:val="00D30F0D"/>
    <w:rsid w:val="00D31607"/>
    <w:rsid w:val="00D333E9"/>
    <w:rsid w:val="00D34E4D"/>
    <w:rsid w:val="00D37E0B"/>
    <w:rsid w:val="00D429F1"/>
    <w:rsid w:val="00D4307D"/>
    <w:rsid w:val="00D4390B"/>
    <w:rsid w:val="00D47C71"/>
    <w:rsid w:val="00D523AC"/>
    <w:rsid w:val="00D55B13"/>
    <w:rsid w:val="00D565F9"/>
    <w:rsid w:val="00D57729"/>
    <w:rsid w:val="00D6157B"/>
    <w:rsid w:val="00D64CB1"/>
    <w:rsid w:val="00D6645F"/>
    <w:rsid w:val="00D66CE5"/>
    <w:rsid w:val="00D705E9"/>
    <w:rsid w:val="00D718C7"/>
    <w:rsid w:val="00D7296D"/>
    <w:rsid w:val="00D757BE"/>
    <w:rsid w:val="00D76FB1"/>
    <w:rsid w:val="00D77D1F"/>
    <w:rsid w:val="00D80FC7"/>
    <w:rsid w:val="00D86D78"/>
    <w:rsid w:val="00D873FA"/>
    <w:rsid w:val="00D91A8C"/>
    <w:rsid w:val="00D945E9"/>
    <w:rsid w:val="00DA351C"/>
    <w:rsid w:val="00DA7F66"/>
    <w:rsid w:val="00DB184A"/>
    <w:rsid w:val="00DB28D9"/>
    <w:rsid w:val="00DB4925"/>
    <w:rsid w:val="00DC0F2C"/>
    <w:rsid w:val="00DC1994"/>
    <w:rsid w:val="00DC1EA8"/>
    <w:rsid w:val="00DC2B37"/>
    <w:rsid w:val="00DC456C"/>
    <w:rsid w:val="00DD2D0D"/>
    <w:rsid w:val="00DD30E4"/>
    <w:rsid w:val="00DD5916"/>
    <w:rsid w:val="00DE5F7C"/>
    <w:rsid w:val="00DE681F"/>
    <w:rsid w:val="00DE6B73"/>
    <w:rsid w:val="00DF321A"/>
    <w:rsid w:val="00DF3615"/>
    <w:rsid w:val="00DF74E3"/>
    <w:rsid w:val="00E01F0D"/>
    <w:rsid w:val="00E0434A"/>
    <w:rsid w:val="00E06AF1"/>
    <w:rsid w:val="00E140AE"/>
    <w:rsid w:val="00E17579"/>
    <w:rsid w:val="00E20E95"/>
    <w:rsid w:val="00E24334"/>
    <w:rsid w:val="00E267EC"/>
    <w:rsid w:val="00E30381"/>
    <w:rsid w:val="00E33880"/>
    <w:rsid w:val="00E33E1B"/>
    <w:rsid w:val="00E34BDE"/>
    <w:rsid w:val="00E36ED5"/>
    <w:rsid w:val="00E41C0D"/>
    <w:rsid w:val="00E4257C"/>
    <w:rsid w:val="00E445B9"/>
    <w:rsid w:val="00E44FAF"/>
    <w:rsid w:val="00E45B85"/>
    <w:rsid w:val="00E47C30"/>
    <w:rsid w:val="00E5433C"/>
    <w:rsid w:val="00E54509"/>
    <w:rsid w:val="00E55462"/>
    <w:rsid w:val="00E55DF5"/>
    <w:rsid w:val="00E602BF"/>
    <w:rsid w:val="00E61A56"/>
    <w:rsid w:val="00E653A9"/>
    <w:rsid w:val="00E66D06"/>
    <w:rsid w:val="00E7004E"/>
    <w:rsid w:val="00E73124"/>
    <w:rsid w:val="00E75CD5"/>
    <w:rsid w:val="00E822B7"/>
    <w:rsid w:val="00E86D68"/>
    <w:rsid w:val="00E962A0"/>
    <w:rsid w:val="00EA1649"/>
    <w:rsid w:val="00EA229B"/>
    <w:rsid w:val="00EA53FF"/>
    <w:rsid w:val="00EA6014"/>
    <w:rsid w:val="00EA66BA"/>
    <w:rsid w:val="00EA67E4"/>
    <w:rsid w:val="00EB3FB8"/>
    <w:rsid w:val="00EB5922"/>
    <w:rsid w:val="00EB6BFE"/>
    <w:rsid w:val="00EB7C2C"/>
    <w:rsid w:val="00EC08FE"/>
    <w:rsid w:val="00EC3244"/>
    <w:rsid w:val="00EC4AD1"/>
    <w:rsid w:val="00EC6F04"/>
    <w:rsid w:val="00EC7BA2"/>
    <w:rsid w:val="00ED019D"/>
    <w:rsid w:val="00EE112E"/>
    <w:rsid w:val="00EE1E8C"/>
    <w:rsid w:val="00EE7C97"/>
    <w:rsid w:val="00EF4F6D"/>
    <w:rsid w:val="00EF5CDD"/>
    <w:rsid w:val="00EF75B9"/>
    <w:rsid w:val="00EF7EED"/>
    <w:rsid w:val="00F00230"/>
    <w:rsid w:val="00F023BE"/>
    <w:rsid w:val="00F02FF4"/>
    <w:rsid w:val="00F05DA7"/>
    <w:rsid w:val="00F1226B"/>
    <w:rsid w:val="00F149F2"/>
    <w:rsid w:val="00F15193"/>
    <w:rsid w:val="00F206FB"/>
    <w:rsid w:val="00F20AE4"/>
    <w:rsid w:val="00F25EF1"/>
    <w:rsid w:val="00F27E94"/>
    <w:rsid w:val="00F3632D"/>
    <w:rsid w:val="00F36CDD"/>
    <w:rsid w:val="00F40BF8"/>
    <w:rsid w:val="00F44CD4"/>
    <w:rsid w:val="00F451B8"/>
    <w:rsid w:val="00F45A2C"/>
    <w:rsid w:val="00F53590"/>
    <w:rsid w:val="00F624CF"/>
    <w:rsid w:val="00F62BA9"/>
    <w:rsid w:val="00F6313F"/>
    <w:rsid w:val="00F71FD3"/>
    <w:rsid w:val="00F72BB9"/>
    <w:rsid w:val="00F758DE"/>
    <w:rsid w:val="00F7697C"/>
    <w:rsid w:val="00F86E5A"/>
    <w:rsid w:val="00F91191"/>
    <w:rsid w:val="00FA0440"/>
    <w:rsid w:val="00FA40A2"/>
    <w:rsid w:val="00FA5F8F"/>
    <w:rsid w:val="00FA6690"/>
    <w:rsid w:val="00FA7229"/>
    <w:rsid w:val="00FB34D8"/>
    <w:rsid w:val="00FB486A"/>
    <w:rsid w:val="00FB4D20"/>
    <w:rsid w:val="00FC5F58"/>
    <w:rsid w:val="00FC60F3"/>
    <w:rsid w:val="00FC6288"/>
    <w:rsid w:val="00FC6C1F"/>
    <w:rsid w:val="00FC7376"/>
    <w:rsid w:val="00FD3394"/>
    <w:rsid w:val="00FD5378"/>
    <w:rsid w:val="00FE7B5C"/>
    <w:rsid w:val="00FF1E08"/>
    <w:rsid w:val="00FF4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63325849"/>
  <w15:docId w15:val="{A709CC2D-40AB-9F45-AD60-5726130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C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58EF"/>
    <w:rPr>
      <w:rFonts w:ascii="Lucida Grande" w:hAnsi="Lucida Grande" w:cs="Lucida Grande"/>
      <w:sz w:val="18"/>
    </w:rPr>
  </w:style>
  <w:style w:type="character" w:customStyle="1" w:styleId="BalloonTextChar">
    <w:name w:val="Balloon Text Char"/>
    <w:link w:val="BalloonText"/>
    <w:rsid w:val="003658EF"/>
    <w:rPr>
      <w:rFonts w:ascii="Lucida Grande" w:hAnsi="Lucida Grande" w:cs="Lucida Grande"/>
      <w:sz w:val="18"/>
    </w:rPr>
  </w:style>
  <w:style w:type="character" w:customStyle="1" w:styleId="HeaderChar">
    <w:name w:val="Header Char"/>
    <w:link w:val="Header"/>
    <w:rsid w:val="003658EF"/>
    <w:rPr>
      <w:sz w:val="24"/>
    </w:rPr>
  </w:style>
  <w:style w:type="paragraph" w:styleId="Footer">
    <w:name w:val="footer"/>
    <w:basedOn w:val="Normal"/>
    <w:link w:val="FooterChar"/>
    <w:rsid w:val="0036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658EF"/>
    <w:rPr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FD3394"/>
    <w:pPr>
      <w:spacing w:before="360"/>
    </w:pPr>
    <w:rPr>
      <w:rFonts w:asciiTheme="majorHAnsi" w:hAnsiTheme="majorHAnsi" w:cstheme="majorHAnsi"/>
      <w:b/>
      <w:caps/>
    </w:rPr>
  </w:style>
  <w:style w:type="paragraph" w:styleId="TOC2">
    <w:name w:val="toc 2"/>
    <w:basedOn w:val="Normal"/>
    <w:next w:val="Normal"/>
    <w:autoRedefine/>
    <w:uiPriority w:val="39"/>
    <w:qFormat/>
    <w:rsid w:val="00FD3394"/>
    <w:pPr>
      <w:spacing w:before="240"/>
    </w:pPr>
    <w:rPr>
      <w:rFonts w:asciiTheme="minorHAnsi" w:hAnsiTheme="minorHAnsi"/>
      <w:b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D3394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rsid w:val="000F3BA2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rFonts w:asciiTheme="minorHAnsi" w:hAnsiTheme="minorHAnsi"/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sz w:val="28"/>
    </w:rPr>
  </w:style>
  <w:style w:type="paragraph" w:customStyle="1" w:styleId="Agency-heading-1">
    <w:name w:val="Agency-heading-1"/>
    <w:basedOn w:val="Normal"/>
    <w:next w:val="Agency-body-text"/>
    <w:qFormat/>
    <w:rsid w:val="00D1582E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caps/>
      <w:color w:val="000000" w:themeColor="text1"/>
      <w:sz w:val="40"/>
    </w:rPr>
  </w:style>
  <w:style w:type="paragraph" w:customStyle="1" w:styleId="Agency-heading-2">
    <w:name w:val="Agency-heading-2"/>
    <w:basedOn w:val="Normal"/>
    <w:next w:val="Agency-body-text"/>
    <w:qFormat/>
    <w:rsid w:val="007D4D3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</w:rPr>
  </w:style>
  <w:style w:type="paragraph" w:customStyle="1" w:styleId="Agency-heading-3">
    <w:name w:val="Agency-heading-3"/>
    <w:basedOn w:val="Normal"/>
    <w:next w:val="Agency-body-text"/>
    <w:qFormat/>
    <w:rsid w:val="007D4D30"/>
    <w:pPr>
      <w:keepNext/>
      <w:spacing w:before="240" w:after="120"/>
      <w:outlineLvl w:val="3"/>
    </w:pPr>
    <w:rPr>
      <w:rFonts w:ascii="Calibri" w:hAnsi="Calibri"/>
      <w:b/>
      <w:color w:val="000000" w:themeColor="text1"/>
    </w:rPr>
  </w:style>
  <w:style w:type="paragraph" w:customStyle="1" w:styleId="Agency-heading-4">
    <w:name w:val="Agency-heading-4"/>
    <w:basedOn w:val="Normal"/>
    <w:next w:val="Agency-body-text"/>
    <w:qFormat/>
    <w:rsid w:val="007D4D30"/>
    <w:pPr>
      <w:keepNext/>
      <w:spacing w:before="240" w:after="120"/>
      <w:outlineLvl w:val="4"/>
    </w:pPr>
    <w:rPr>
      <w:rFonts w:ascii="Calibri" w:hAnsi="Calibri"/>
      <w:i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sz w:val="22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</w:rPr>
  </w:style>
  <w:style w:type="paragraph" w:customStyle="1" w:styleId="Agency-body-text">
    <w:name w:val="Agency-body-text"/>
    <w:basedOn w:val="Normal"/>
    <w:link w:val="Agency-body-textChar"/>
    <w:qFormat/>
    <w:rsid w:val="006435C7"/>
    <w:pPr>
      <w:spacing w:before="120" w:after="120"/>
    </w:pPr>
    <w:rPr>
      <w:rFonts w:ascii="Calibri" w:hAnsi="Calibri"/>
      <w:color w:val="000000" w:themeColor="text1"/>
    </w:rPr>
  </w:style>
  <w:style w:type="paragraph" w:styleId="FootnoteText">
    <w:name w:val="footnote text"/>
    <w:basedOn w:val="Normal"/>
    <w:link w:val="FootnoteTextChar"/>
    <w:rsid w:val="00A8402E"/>
  </w:style>
  <w:style w:type="character" w:customStyle="1" w:styleId="FootnoteTextChar">
    <w:name w:val="Footnote Text Char"/>
    <w:link w:val="FootnoteText"/>
    <w:rsid w:val="00A8402E"/>
    <w:rPr>
      <w:sz w:val="24"/>
    </w:rPr>
  </w:style>
  <w:style w:type="character" w:styleId="FootnoteReference">
    <w:name w:val="footnote reference"/>
    <w:rsid w:val="00A8402E"/>
    <w:rPr>
      <w:vertAlign w:val="superscript"/>
    </w:rPr>
  </w:style>
  <w:style w:type="paragraph" w:customStyle="1" w:styleId="Agency-quotation">
    <w:name w:val="Agency-quotation"/>
    <w:basedOn w:val="Normal"/>
    <w:next w:val="Normal"/>
    <w:qFormat/>
    <w:rsid w:val="00F71FD3"/>
    <w:pPr>
      <w:spacing w:before="240" w:after="240"/>
      <w:ind w:left="567" w:right="567"/>
    </w:pPr>
    <w:rPr>
      <w:rFonts w:ascii="Calibri" w:hAnsi="Calibri"/>
      <w:color w:val="000000" w:themeColor="text1"/>
    </w:rPr>
  </w:style>
  <w:style w:type="paragraph" w:customStyle="1" w:styleId="Agency-title">
    <w:name w:val="Agency-title"/>
    <w:basedOn w:val="Heading1"/>
    <w:next w:val="Agency-body-text"/>
    <w:qFormat/>
    <w:rsid w:val="00ED019D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styleId="Hyperlink">
    <w:name w:val="Hyperlink"/>
    <w:basedOn w:val="DefaultParagraphFont"/>
    <w:uiPriority w:val="99"/>
    <w:unhideWhenUsed/>
    <w:rsid w:val="00742CEF"/>
    <w:rPr>
      <w:color w:val="0000FF" w:themeColor="hyperlink"/>
      <w:u w:val="single"/>
    </w:rPr>
  </w:style>
  <w:style w:type="character" w:customStyle="1" w:styleId="Agency-body-textChar">
    <w:name w:val="Agency-body-text Char"/>
    <w:basedOn w:val="DefaultParagraphFont"/>
    <w:link w:val="Agency-body-text"/>
    <w:rsid w:val="002726DF"/>
    <w:rPr>
      <w:rFonts w:ascii="Calibri" w:hAnsi="Calibri"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6D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DF"/>
  </w:style>
  <w:style w:type="paragraph" w:customStyle="1" w:styleId="paragraph">
    <w:name w:val="paragraph"/>
    <w:basedOn w:val="Normal"/>
    <w:rsid w:val="002726D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726DF"/>
  </w:style>
  <w:style w:type="character" w:customStyle="1" w:styleId="eop">
    <w:name w:val="eop"/>
    <w:basedOn w:val="DefaultParagraphFont"/>
    <w:rsid w:val="002726DF"/>
  </w:style>
  <w:style w:type="table" w:customStyle="1" w:styleId="Tabela-Siatka1">
    <w:name w:val="Tabela - Siatka1"/>
    <w:basedOn w:val="TableNormal"/>
    <w:next w:val="TableGrid"/>
    <w:uiPriority w:val="39"/>
    <w:rsid w:val="002726DF"/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964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5E2964"/>
    <w:rPr>
      <w:b/>
    </w:rPr>
  </w:style>
  <w:style w:type="character" w:styleId="FollowedHyperlink">
    <w:name w:val="FollowedHyperlink"/>
    <w:basedOn w:val="DefaultParagraphFont"/>
    <w:semiHidden/>
    <w:unhideWhenUsed/>
    <w:rsid w:val="00C33A88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70383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BF4B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13D"/>
    <w:pPr>
      <w:spacing w:before="100" w:beforeAutospacing="1" w:after="100" w:afterAutospacing="1"/>
    </w:pPr>
  </w:style>
  <w:style w:type="paragraph" w:customStyle="1" w:styleId="Default">
    <w:name w:val="Default"/>
    <w:rsid w:val="00B91E5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</w:rPr>
  </w:style>
  <w:style w:type="paragraph" w:customStyle="1" w:styleId="Pa1">
    <w:name w:val="Pa1"/>
    <w:basedOn w:val="Default"/>
    <w:next w:val="Default"/>
    <w:uiPriority w:val="99"/>
    <w:rsid w:val="00326E47"/>
    <w:pPr>
      <w:spacing w:line="19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DefaultParagraphFont"/>
    <w:rsid w:val="00426D35"/>
  </w:style>
  <w:style w:type="character" w:customStyle="1" w:styleId="s7">
    <w:name w:val="s7"/>
    <w:basedOn w:val="DefaultParagraphFont"/>
    <w:rsid w:val="00426D35"/>
  </w:style>
  <w:style w:type="character" w:customStyle="1" w:styleId="s11">
    <w:name w:val="s11"/>
    <w:basedOn w:val="DefaultParagraphFont"/>
    <w:rsid w:val="00426D35"/>
  </w:style>
  <w:style w:type="character" w:customStyle="1" w:styleId="Heading1Char">
    <w:name w:val="Heading 1 Char"/>
    <w:basedOn w:val="DefaultParagraphFont"/>
    <w:link w:val="Heading1"/>
    <w:uiPriority w:val="9"/>
    <w:rsid w:val="007E7BB1"/>
    <w:rPr>
      <w:b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307D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FF1E08"/>
  </w:style>
  <w:style w:type="paragraph" w:customStyle="1" w:styleId="P68B1DB1-Agency-body-text1">
    <w:name w:val="P68B1DB1-Agency-body-text1"/>
    <w:basedOn w:val="Agency-body-text"/>
    <w:rPr>
      <w:b/>
      <w:sz w:val="48"/>
    </w:rPr>
  </w:style>
  <w:style w:type="paragraph" w:customStyle="1" w:styleId="P68B1DB1-Agency-body-text2">
    <w:name w:val="P68B1DB1-Agency-body-text2"/>
    <w:basedOn w:val="Agency-body-text"/>
    <w:rPr>
      <w:rFonts w:asciiTheme="majorHAnsi" w:hAnsiTheme="majorHAnsi" w:cstheme="majorHAnsi"/>
      <w:b/>
      <w:sz w:val="40"/>
    </w:rPr>
  </w:style>
  <w:style w:type="paragraph" w:customStyle="1" w:styleId="P68B1DB1-Agency-body-text3">
    <w:name w:val="P68B1DB1-Agency-body-text3"/>
    <w:basedOn w:val="Agency-body-text"/>
    <w:rPr>
      <w:b/>
      <w:sz w:val="36"/>
    </w:rPr>
  </w:style>
  <w:style w:type="paragraph" w:customStyle="1" w:styleId="P68B1DB1-Normal4">
    <w:name w:val="P68B1DB1-Normal4"/>
    <w:basedOn w:val="Normal"/>
    <w:rPr>
      <w:rFonts w:asciiTheme="majorHAnsi" w:hAnsiTheme="majorHAnsi" w:cstheme="majorHAnsi"/>
      <w:b/>
      <w:color w:val="000000" w:themeColor="text1"/>
      <w:sz w:val="40"/>
    </w:rPr>
  </w:style>
  <w:style w:type="paragraph" w:customStyle="1" w:styleId="P68B1DB1-Agency-body-text5">
    <w:name w:val="P68B1DB1-Agency-body-text5"/>
    <w:basedOn w:val="Agency-body-text"/>
    <w:rPr>
      <w:b/>
    </w:rPr>
  </w:style>
  <w:style w:type="paragraph" w:customStyle="1" w:styleId="P68B1DB1-Agency-body-text6">
    <w:name w:val="P68B1DB1-Agency-body-text6"/>
    <w:basedOn w:val="Agency-body-text"/>
    <w:rPr>
      <w:b/>
      <w:sz w:val="40"/>
    </w:rPr>
  </w:style>
  <w:style w:type="paragraph" w:customStyle="1" w:styleId="P68B1DB1-Agency-body-text7">
    <w:name w:val="P68B1DB1-Agency-body-text7"/>
    <w:basedOn w:val="Agency-body-text"/>
    <w:rPr>
      <w:b/>
      <w:i/>
    </w:rPr>
  </w:style>
  <w:style w:type="paragraph" w:customStyle="1" w:styleId="P68B1DB1-Agency-body-text8">
    <w:name w:val="P68B1DB1-Agency-body-text8"/>
    <w:basedOn w:val="Agency-body-text"/>
    <w:rPr>
      <w:i/>
    </w:rPr>
  </w:style>
  <w:style w:type="paragraph" w:customStyle="1" w:styleId="P68B1DB1-Normal9">
    <w:name w:val="P68B1DB1-Normal9"/>
    <w:basedOn w:val="Normal"/>
    <w:rPr>
      <w:rFonts w:asciiTheme="majorHAnsi" w:hAnsiTheme="majorHAnsi"/>
    </w:rPr>
  </w:style>
  <w:style w:type="paragraph" w:customStyle="1" w:styleId="P68B1DB1-Normal10">
    <w:name w:val="P68B1DB1-Normal10"/>
    <w:basedOn w:val="Normal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0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109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790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56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425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029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6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0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4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710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937">
          <w:marLeft w:val="72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publication/311582830_First_comprehensive_monitoring_of_inclusive_education_in_Serbia_selected_finding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ef.org/serbia/publikacije/nacionalni-izvestaj-o-inkluzivnom-obrazovanj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ocijalnoukljucivanje.gov.rs/wp-content/uploads/2014/11/Okvir-za-pracenje-inkluzivnog-obrazovanja-u-Srbiji-eng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os.edu.rs/wp-content/uploads/2016/05/11.-Pra%C4%87enje-i-evaluacija-stanja-inkluzivnog-obrazovanja-u-Republici-Srbij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9ae7998-ccd0-4263-bc53-7550cb5938ea">
      <Terms xmlns="http://schemas.microsoft.com/office/infopath/2007/PartnerControls"/>
    </lcf76f155ced4ddcb4097134ff3c332f>
    <_ip_UnifiedCompliancePolicyProperties xmlns="http://schemas.microsoft.com/sharepoint/v3" xsi:nil="true"/>
    <TaxCatchAll xmlns="0eb656aa-4e79-4e95-9076-bc119a23e0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1BDC85DEEC74C870A0853CD5588E8" ma:contentTypeVersion="18" ma:contentTypeDescription="Create a new document." ma:contentTypeScope="" ma:versionID="24c3e8681b8f5ea99c672a4845035385">
  <xsd:schema xmlns:xsd="http://www.w3.org/2001/XMLSchema" xmlns:xs="http://www.w3.org/2001/XMLSchema" xmlns:p="http://schemas.microsoft.com/office/2006/metadata/properties" xmlns:ns1="http://schemas.microsoft.com/sharepoint/v3" xmlns:ns2="29ae7998-ccd0-4263-bc53-7550cb5938ea" xmlns:ns3="a2583af2-6f8c-48fa-9b25-65670c84e276" xmlns:ns4="0eb656aa-4e79-4e95-9076-bc119a23e0cc" targetNamespace="http://schemas.microsoft.com/office/2006/metadata/properties" ma:root="true" ma:fieldsID="da15f66ce1b4050de1e40457c15dcda6" ns1:_="" ns2:_="" ns3:_="" ns4:_="">
    <xsd:import namespace="http://schemas.microsoft.com/sharepoint/v3"/>
    <xsd:import namespace="29ae7998-ccd0-4263-bc53-7550cb5938ea"/>
    <xsd:import namespace="a2583af2-6f8c-48fa-9b25-65670c84e276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7998-ccd0-4263-bc53-7550cb59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3af2-6f8c-48fa-9b25-65670c84e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f451807-32b3-4b0c-be3e-9f986dc3d001}" ma:internalName="TaxCatchAll" ma:showField="CatchAllData" ma:web="a2583af2-6f8c-48fa-9b25-65670c84e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8CA18-1B2B-4AFA-A4FC-925E01EC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30E56-51A9-4604-88DC-9943871ACDD8}"/>
</file>

<file path=customXml/itemProps3.xml><?xml version="1.0" encoding="utf-8"?>
<ds:datastoreItem xmlns:ds="http://schemas.openxmlformats.org/officeDocument/2006/customXml" ds:itemID="{77F30688-A668-485D-9040-7C1C52371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7721C-F377-429C-BD55-B9CD207C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4694</Words>
  <Characters>26758</Characters>
  <Application>Microsoft Office Word</Application>
  <DocSecurity>4</DocSecurity>
  <Lines>222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European Agency for Special Needs and Inclusive Education</Company>
  <LinksUpToDate>false</LinksUpToDate>
  <CharactersWithSpaces>31390</CharactersWithSpaces>
  <SharedDoc>false</SharedDoc>
  <HyperlinkBase/>
  <HLinks>
    <vt:vector size="12" baseType="variant">
      <vt:variant>
        <vt:i4>3276915</vt:i4>
      </vt:variant>
      <vt:variant>
        <vt:i4>2927</vt:i4>
      </vt:variant>
      <vt:variant>
        <vt:i4>1026</vt:i4>
      </vt:variant>
      <vt:variant>
        <vt:i4>1</vt:i4>
      </vt:variant>
      <vt:variant>
        <vt:lpwstr>Logo A4 header</vt:lpwstr>
      </vt:variant>
      <vt:variant>
        <vt:lpwstr/>
      </vt:variant>
      <vt:variant>
        <vt:i4>3276915</vt:i4>
      </vt:variant>
      <vt:variant>
        <vt:i4>2930</vt:i4>
      </vt:variant>
      <vt:variant>
        <vt:i4>1025</vt:i4>
      </vt:variant>
      <vt:variant>
        <vt:i4>1</vt:i4>
      </vt:variant>
      <vt:variant>
        <vt:lpwstr>Logo A4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Ruta Svarinskaite</cp:lastModifiedBy>
  <cp:revision>2</cp:revision>
  <cp:lastPrinted>2021-02-26T15:20:00Z</cp:lastPrinted>
  <dcterms:created xsi:type="dcterms:W3CDTF">2021-07-10T09:38:00Z</dcterms:created>
  <dcterms:modified xsi:type="dcterms:W3CDTF">2021-07-10T09:38:00Z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0x01010076F1BDC85DEEC74C870A0853CD5588E8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